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174" w:type="dxa"/>
        <w:tblLook w:val="0000" w:firstRow="0" w:lastRow="0" w:firstColumn="0" w:lastColumn="0" w:noHBand="0" w:noVBand="0"/>
      </w:tblPr>
      <w:tblGrid>
        <w:gridCol w:w="3227"/>
        <w:gridCol w:w="284"/>
        <w:gridCol w:w="142"/>
        <w:gridCol w:w="284"/>
        <w:gridCol w:w="491"/>
        <w:gridCol w:w="1620"/>
        <w:gridCol w:w="3842"/>
        <w:gridCol w:w="118"/>
        <w:gridCol w:w="166"/>
      </w:tblGrid>
      <w:tr>
        <w:tblPrEx/>
        <w:trPr>
          <w:gridAfter w:val="1"/>
        </w:trPr>
        <w:tc>
          <w:tcPr>
            <w:gridSpan w:val="5"/>
            <w:shd w:val="clear" w:color="auto" w:fill="auto"/>
            <w:tcW w:w="4428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</w:tcBorders>
            <w:tcW w:w="1620" w:type="dxa"/>
            <w:textDirection w:val="lrTb"/>
            <w:noWrap w:val="false"/>
          </w:tcPr>
          <w:p>
            <w:pPr>
              <w:ind w:left="-465"/>
              <w:jc w:val="center"/>
              <w:rPr>
                <w:color w:val="000000"/>
              </w:rPr>
            </w:pPr>
            <w:r>
              <w:rPr>
                <w:color w:val="00000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3400" cy="514350"/>
                      <wp:effectExtent l="0" t="0" r="0" b="0"/>
                      <wp:docPr id="1" name="Рисунок 2" descr="ch_gerb_b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ch_gerb_bw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34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00pt;height:40.50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3960" w:type="dxa"/>
            <w:textDirection w:val="lrTb"/>
            <w:noWrap w:val="false"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gridAfter w:val="1"/>
        </w:trPr>
        <w:tc>
          <w:tcPr>
            <w:gridSpan w:val="8"/>
            <w:tcW w:w="1000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aps/>
                <w:color w:val="000000"/>
                <w:spacing w:val="-10"/>
              </w:rPr>
            </w:pPr>
            <w:r>
              <w:rPr>
                <w:b/>
                <w:bCs/>
                <w:caps/>
                <w:color w:val="000000"/>
                <w:spacing w:val="-10"/>
              </w:rPr>
              <w:t xml:space="preserve">Чăваш Республикин</w:t>
            </w:r>
            <w:r>
              <w:rPr>
                <w:b/>
                <w:bCs/>
                <w:caps/>
                <w:color w:val="000000"/>
                <w:spacing w:val="-10"/>
              </w:rPr>
            </w:r>
            <w:r>
              <w:rPr>
                <w:b/>
                <w:bCs/>
                <w:caps/>
                <w:color w:val="000000"/>
                <w:spacing w:val="-10"/>
              </w:rPr>
            </w:r>
          </w:p>
          <w:p>
            <w:pPr>
              <w:jc w:val="center"/>
              <w:rPr>
                <w:b/>
                <w:bCs/>
                <w:color w:val="000000"/>
                <w:spacing w:val="-10"/>
              </w:rPr>
              <w:framePr w:w="4549" w:h="4693" w:hSpace="141" w:wrap="around" w:vAnchor="text" w:hAnchor="page" w:x="1261" w:y="185"/>
            </w:pPr>
            <w:r>
              <w:rPr>
                <w:b/>
                <w:caps/>
                <w:color w:val="000000"/>
              </w:rPr>
              <w:t xml:space="preserve">промышленность тата энергетика министерстви</w:t>
            </w:r>
            <w:r>
              <w:rPr>
                <w:b/>
                <w:bCs/>
                <w:color w:val="000000"/>
                <w:spacing w:val="-10"/>
              </w:rPr>
            </w:r>
            <w:r>
              <w:rPr>
                <w:b/>
                <w:bCs/>
                <w:color w:val="000000"/>
                <w:spacing w:val="-1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gridAfter w:val="1"/>
        </w:trPr>
        <w:tc>
          <w:tcPr>
            <w:gridSpan w:val="8"/>
            <w:tcW w:w="10008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  <w:r>
              <w:rPr>
                <w:b/>
                <w:color w:val="000000"/>
                <w:sz w:val="18"/>
                <w:szCs w:val="18"/>
              </w:rPr>
            </w:r>
            <w:r>
              <w:rPr>
                <w:b/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b/>
                <w:caps/>
                <w:color w:val="000000"/>
              </w:rPr>
            </w:pPr>
            <w:r>
              <w:rPr>
                <w:b/>
                <w:caps/>
                <w:color w:val="000000"/>
              </w:rPr>
              <w:t xml:space="preserve">Министерство промышленности И энергетики </w:t>
            </w:r>
            <w:r>
              <w:rPr>
                <w:b/>
                <w:caps/>
                <w:color w:val="000000"/>
              </w:rPr>
            </w:r>
            <w:r>
              <w:rPr>
                <w:b/>
                <w:caps/>
                <w:color w:val="000000"/>
              </w:rPr>
            </w:r>
          </w:p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aps/>
                <w:color w:val="000000"/>
              </w:rPr>
              <w:t xml:space="preserve">Чувашской Республики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br/>
              <w:t xml:space="preserve">(МИНПРОМЭНЕРГО ЧУВАШИИ)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gridAfter w:val="1"/>
          <w:trHeight w:val="2580"/>
        </w:trPr>
        <w:tc>
          <w:tcPr>
            <w:gridSpan w:val="8"/>
            <w:tcW w:w="1000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</w:r>
            <w:r>
              <w:rPr>
                <w:rFonts w:ascii="Arial" w:hAnsi="Arial" w:cs="Arial"/>
                <w:b/>
                <w:color w:val="000000"/>
              </w:rPr>
            </w:r>
            <w:r>
              <w:rPr>
                <w:rFonts w:ascii="Arial" w:hAnsi="Arial" w:cs="Arial"/>
                <w:b/>
                <w:color w:val="000000"/>
              </w:rPr>
            </w:r>
          </w:p>
          <w:p>
            <w:pPr>
              <w:jc w:val="center"/>
              <w:spacing w:after="12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П</w:t>
            </w:r>
            <w:r>
              <w:rPr>
                <w:rFonts w:ascii="Arial" w:hAnsi="Arial" w:cs="Arial"/>
                <w:b/>
                <w:color w:val="000000"/>
              </w:rPr>
              <w:t xml:space="preserve"> Р О Т О К О Л</w:t>
            </w:r>
            <w:r>
              <w:rPr>
                <w:rFonts w:ascii="Arial" w:hAnsi="Arial" w:cs="Arial"/>
                <w:b/>
                <w:color w:val="000000"/>
              </w:rPr>
            </w:r>
            <w:r>
              <w:rPr>
                <w:rFonts w:ascii="Arial" w:hAnsi="Arial" w:cs="Arial"/>
                <w:b/>
                <w:color w:val="000000"/>
              </w:rPr>
            </w:r>
          </w:p>
          <w:p>
            <w:pPr>
              <w:contextualSpacing/>
              <w:jc w:val="center"/>
              <w:spacing w:before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согласительного совещания</w: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по проекту внесения изменений в инвестиционную программу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  <w:bCs/>
              </w:rPr>
              <w:t xml:space="preserve">акц</w:t>
            </w:r>
            <w:r>
              <w:rPr>
                <w:rFonts w:ascii="Arial" w:hAnsi="Arial" w:cs="Arial"/>
              </w:rPr>
              <w:t xml:space="preserve">ионерного общества «Чувашская энергосбытовая компания» </w:t>
            </w:r>
            <w:r>
              <w:rPr>
                <w:rFonts w:ascii="Arial" w:hAnsi="Arial" w:cs="Arial"/>
                <w14:ligatures w14:val="none"/>
              </w:rPr>
            </w:r>
            <w:r>
              <w:rPr>
                <w:rFonts w:ascii="Arial" w:hAnsi="Arial" w:cs="Arial"/>
                <w14:ligatures w14:val="none"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  <w:t xml:space="preserve">на 202</w:t>
            </w:r>
            <w:r>
              <w:rPr>
                <w:rFonts w:ascii="Arial" w:hAnsi="Arial" w:cs="Arial"/>
              </w:rPr>
              <w:t xml:space="preserve">4</w:t>
            </w:r>
            <w:r>
              <w:rPr>
                <w:rFonts w:ascii="Arial" w:hAnsi="Arial" w:cs="Arial"/>
              </w:rPr>
              <w:t xml:space="preserve">-202</w:t>
            </w:r>
            <w:r>
              <w:rPr>
                <w:rFonts w:ascii="Arial" w:hAnsi="Arial" w:cs="Arial"/>
              </w:rPr>
              <w:t xml:space="preserve">8</w:t>
            </w:r>
            <w:r>
              <w:rPr>
                <w:rFonts w:ascii="Arial" w:hAnsi="Arial" w:cs="Arial"/>
              </w:rPr>
              <w:t xml:space="preserve"> годы и проекту </w:t>
            </w:r>
            <w:r>
              <w:rPr>
                <w:rFonts w:ascii="Arial" w:hAnsi="Arial" w:cs="Arial"/>
              </w:rPr>
              <w:t xml:space="preserve">инвестиционной программы</w:t>
            </w:r>
            <w:r>
              <w:rPr>
                <w:rFonts w:ascii="Arial" w:hAnsi="Arial" w:cs="Arial"/>
                <w14:ligatures w14:val="none"/>
              </w:rPr>
            </w:r>
            <w:r>
              <w:rPr>
                <w:rFonts w:ascii="Arial" w:hAnsi="Arial" w:cs="Arial"/>
                <w14:ligatures w14:val="none"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t xml:space="preserve">общества с ограниченной ответственностью </w:t>
            </w:r>
            <w:r>
              <w:rPr>
                <w:rFonts w:ascii="Arial" w:hAnsi="Arial" w:cs="Arial"/>
              </w:rPr>
              <w:t xml:space="preserve">«РЭС-Энерго»</w:t>
            </w:r>
            <w:r>
              <w:rPr>
                <w:rFonts w:ascii="Arial" w:hAnsi="Arial" w:cs="Arial"/>
                <w14:ligatures w14:val="none"/>
              </w:rPr>
            </w:r>
            <w:r>
              <w:rPr>
                <w:rFonts w:ascii="Arial" w:hAnsi="Arial" w:cs="Arial"/>
                <w14:ligatures w14:val="none"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t xml:space="preserve">в сфере электроэнергетики на 2025-2028</w:t>
            </w:r>
            <w:r>
              <w:rPr>
                <w:rFonts w:ascii="Arial" w:hAnsi="Arial" w:cs="Arial"/>
              </w:rPr>
              <w:t xml:space="preserve"> годы</w:t>
            </w:r>
            <w:r>
              <w:rPr>
                <w:rFonts w:ascii="Arial" w:hAnsi="Arial" w:cs="Arial"/>
                <w14:ligatures w14:val="none"/>
              </w:rPr>
            </w:r>
            <w:r>
              <w:rPr>
                <w:rFonts w:ascii="Arial" w:hAnsi="Arial" w:cs="Arial"/>
                <w14:ligatures w14:val="none"/>
              </w:rPr>
            </w:r>
          </w:p>
          <w:p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jc w:val="center"/>
              <w:widowControl w:val="off"/>
              <w:rPr>
                <w:rFonts w:ascii="Arial" w:hAnsi="Arial" w:cs="Arial"/>
                <w:b/>
                <w:bCs/>
                <w:color w:val="000000"/>
              </w:rPr>
              <w:outlineLvl w:val="0"/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  <w:p>
            <w:pPr>
              <w:jc w:val="center"/>
              <w:widowControl w:val="off"/>
              <w:rPr>
                <w:rFonts w:ascii="Arial" w:hAnsi="Arial" w:cs="Arial"/>
                <w:b/>
                <w:bCs/>
                <w:color w:val="000000"/>
              </w:rPr>
              <w:outlineLvl w:val="0"/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  <w:p>
            <w:pPr>
              <w:widowControl w:val="off"/>
              <w:rPr>
                <w:rFonts w:ascii="Arial" w:hAnsi="Arial" w:cs="Arial"/>
                <w:bCs/>
                <w:color w:val="000000"/>
              </w:rPr>
              <w:outlineLvl w:val="0"/>
            </w:pPr>
            <w:r>
              <w:rPr>
                <w:rFonts w:ascii="Arial" w:hAnsi="Arial" w:cs="Arial"/>
                <w:bCs/>
                <w:color w:val="000000"/>
              </w:rPr>
              <w:t xml:space="preserve">г. Чебоксары</w:t>
            </w:r>
            <w:r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</w:t>
            </w:r>
            <w:r>
              <w:rPr>
                <w:rFonts w:ascii="Arial" w:hAnsi="Arial" w:cs="Arial"/>
                <w:bCs/>
                <w:color w:val="000000"/>
              </w:rPr>
              <w:t xml:space="preserve">30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 xml:space="preserve">августа</w:t>
            </w:r>
            <w:r>
              <w:rPr>
                <w:rFonts w:ascii="Arial" w:hAnsi="Arial" w:cs="Arial"/>
                <w:bCs/>
                <w:color w:val="000000"/>
              </w:rPr>
              <w:t xml:space="preserve"> 202</w:t>
            </w:r>
            <w:r>
              <w:rPr>
                <w:rFonts w:ascii="Arial" w:hAnsi="Arial" w:cs="Arial"/>
                <w:bCs/>
                <w:color w:val="000000"/>
              </w:rPr>
              <w:t xml:space="preserve">4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 xml:space="preserve">г.</w:t>
            </w:r>
            <w:r>
              <w:rPr>
                <w:rFonts w:ascii="Arial" w:hAnsi="Arial" w:cs="Arial"/>
                <w:bCs/>
                <w:color w:val="000000"/>
              </w:rPr>
            </w:r>
            <w:r>
              <w:rPr>
                <w:rFonts w:ascii="Arial" w:hAnsi="Arial" w:cs="Arial"/>
                <w:bCs/>
                <w:color w:val="000000"/>
              </w:rPr>
            </w:r>
          </w:p>
          <w:p>
            <w:pPr>
              <w:rPr>
                <w:rFonts w:ascii="Arial" w:hAnsi="Arial" w:cs="Arial"/>
                <w:b/>
                <w:color w:val="000000"/>
              </w:rPr>
            </w:pPr>
            <w:r/>
            <w:bookmarkStart w:id="0" w:name="_GoBack"/>
            <w:r/>
            <w:bookmarkEnd w:id="0"/>
            <w:r>
              <w:rPr>
                <w:rFonts w:ascii="Arial" w:hAnsi="Arial" w:cs="Arial"/>
                <w:b/>
                <w:color w:val="000000"/>
              </w:rPr>
            </w:r>
            <w:r>
              <w:rPr>
                <w:rFonts w:ascii="Arial" w:hAnsi="Arial" w:cs="Arial"/>
                <w:b/>
                <w:color w:val="000000"/>
              </w:rPr>
            </w:r>
          </w:p>
        </w:tc>
      </w:tr>
      <w:tr>
        <w:tblPrEx/>
        <w:trPr/>
        <w:tc>
          <w:tcPr>
            <w:gridSpan w:val="2"/>
            <w:tcMar>
              <w:top w:w="28" w:type="dxa"/>
              <w:bottom w:w="28" w:type="dxa"/>
            </w:tcMar>
            <w:tcW w:w="3511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  <w:p>
            <w:pPr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Председательствующий: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  <w:p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5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Лекарев </w:t>
            </w:r>
            <w:r>
              <w:rPr>
                <w:rFonts w:ascii="Arial" w:hAnsi="Arial" w:cs="Arial"/>
                <w:bCs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Сергей Николаевич</w:t>
            </w:r>
            <w:r>
              <w:rPr>
                <w:rFonts w:ascii="Arial" w:hAnsi="Arial" w:cs="Arial"/>
                <w:bCs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министр </w:t>
            </w:r>
            <w:r>
              <w:rPr>
                <w:rFonts w:ascii="Arial" w:hAnsi="Arial" w:cs="Arial"/>
                <w:sz w:val="24"/>
                <w:szCs w:val="24"/>
              </w:rPr>
              <w:t xml:space="preserve">промышленности и </w:t>
            </w:r>
            <w:r>
              <w:rPr>
                <w:rFonts w:ascii="Arial" w:hAnsi="Arial" w:cs="Arial"/>
                <w:sz w:val="24"/>
                <w:szCs w:val="24"/>
              </w:rPr>
              <w:t xml:space="preserve">энергетики Чувашской Республики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Mar>
              <w:top w:w="28" w:type="dxa"/>
              <w:bottom w:w="28" w:type="dxa"/>
            </w:tcMar>
            <w:tcW w:w="9890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</w:r>
            <w:r>
              <w:rPr>
                <w:rFonts w:ascii="Arial" w:hAnsi="Arial" w:cs="Arial"/>
                <w:bCs/>
                <w:sz w:val="24"/>
                <w:szCs w:val="24"/>
              </w:rPr>
            </w:r>
            <w:r>
              <w:rPr>
                <w:rFonts w:ascii="Arial" w:hAnsi="Arial" w:cs="Arial"/>
                <w:bCs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Mar>
              <w:top w:w="28" w:type="dxa"/>
              <w:bottom w:w="28" w:type="dxa"/>
            </w:tcMar>
            <w:tcW w:w="9890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Присутствовали: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Mar>
              <w:top w:w="28" w:type="dxa"/>
              <w:bottom w:w="28" w:type="dxa"/>
            </w:tcMar>
            <w:tcW w:w="9890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Павлова 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</w:t>
            </w:r>
            <w:r>
              <w:rPr>
                <w:rFonts w:ascii="Arial" w:hAnsi="Arial" w:cs="Arial"/>
                <w:sz w:val="24"/>
                <w:szCs w:val="24"/>
              </w:rPr>
              <w:t xml:space="preserve">елли </w:t>
            </w:r>
            <w:r>
              <w:rPr>
                <w:rFonts w:ascii="Arial" w:hAnsi="Arial" w:cs="Arial"/>
                <w:sz w:val="24"/>
                <w:szCs w:val="24"/>
              </w:rPr>
              <w:t xml:space="preserve">М</w:t>
            </w:r>
            <w:r>
              <w:rPr>
                <w:rFonts w:ascii="Arial" w:hAnsi="Arial" w:cs="Arial"/>
                <w:sz w:val="24"/>
                <w:szCs w:val="24"/>
              </w:rPr>
              <w:t xml:space="preserve">ихайловна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</w:t>
            </w:r>
            <w:r>
              <w:rPr>
                <w:rFonts w:ascii="Arial" w:hAnsi="Arial" w:cs="Arial"/>
                <w:sz w:val="24"/>
                <w:szCs w:val="24"/>
              </w:rPr>
              <w:t xml:space="preserve"> отдела энергетической политики Министерства промышленности и энергетики Чувашской Республики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Можаева 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Ирина Германовна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ind w:right="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консультант       отдела     энергетической    политики Министерства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 xml:space="preserve">промышленности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и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энергетики Чувашской Республики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499"/>
        </w:trPr>
        <w:tc>
          <w:tcPr>
            <w:shd w:val="clear" w:color="auto" w:fill="auto"/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pStyle w:val="942"/>
              <w:ind w:firstLine="23"/>
              <w:jc w:val="both"/>
              <w:widowControl/>
              <w:tabs>
                <w:tab w:val="left" w:pos="181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Егоров 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pStyle w:val="942"/>
              <w:ind w:firstLine="23"/>
              <w:jc w:val="both"/>
              <w:widowControl/>
              <w:tabs>
                <w:tab w:val="left" w:pos="181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Сергей Федорович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руководител</w:t>
            </w:r>
            <w:r>
              <w:rPr>
                <w:rFonts w:ascii="Arial" w:hAnsi="Arial" w:cs="Arial"/>
                <w:sz w:val="24"/>
                <w:szCs w:val="24"/>
              </w:rPr>
              <w:t xml:space="preserve">ь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Государственной службы Чувашской Республики по конкурентной политике и тарифам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shd w:val="clear" w:color="auto" w:fill="auto"/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Владимирова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Алевтина Владимировна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>
              <w:rPr>
                <w:rFonts w:ascii="Arial" w:hAnsi="Arial" w:cs="Arial"/>
                <w:sz w:val="24"/>
                <w:szCs w:val="24"/>
              </w:rPr>
              <w:t xml:space="preserve">отдела регулирования тарифов на электрическую энергию Государственной службы Чувашской Республики по конкурентной политике и тарифам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713"/>
        </w:trPr>
        <w:tc>
          <w:tcPr>
            <w:shd w:val="clear" w:color="auto" w:fill="auto"/>
            <w:tcMar>
              <w:top w:w="28" w:type="dxa"/>
              <w:bottom w:w="28" w:type="dxa"/>
            </w:tcMar>
            <w:tcW w:w="3227" w:type="dxa"/>
            <w:vAlign w:val="top"/>
            <w:textDirection w:val="lrTb"/>
            <w:noWrap w:val="false"/>
          </w:tcPr>
          <w:p>
            <w:pPr>
              <w:contextualSpacing w:val="0"/>
              <w:jc w:val="left"/>
              <w:spacing w:before="170" w:after="0" w:line="238" w:lineRule="auto"/>
              <w:rPr>
                <w:rFonts w:ascii="Arial" w:hAnsi="Arial" w:cs="Arial"/>
                <w:sz w:val="24"/>
                <w:szCs w:val="24"/>
                <w:highlight w:val="none"/>
                <w14:ligatures w14:val="none"/>
              </w:rPr>
              <w:suppressLineNumbers w:val="0"/>
            </w:pPr>
            <w:r>
              <w:rPr>
                <w:rFonts w:ascii="Arial" w:hAnsi="Arial" w:cs="Arial"/>
                <w:sz w:val="24"/>
                <w:szCs w:val="24"/>
              </w:rPr>
              <w:t xml:space="preserve">Константинов </w:t>
            </w:r>
            <w:r>
              <w:rPr>
                <w:rFonts w:ascii="Arial" w:hAnsi="Arial" w:cs="Arial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line="238" w:lineRule="auto"/>
              <w:rPr>
                <w:rFonts w:ascii="Arial" w:hAnsi="Arial" w:cs="Arial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Arial" w:hAnsi="Arial" w:cs="Arial"/>
                <w:sz w:val="24"/>
                <w:szCs w:val="24"/>
              </w:rPr>
              <w:t xml:space="preserve">Дмитрий Александрович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</w:tc>
        <w:tc>
          <w:tcPr>
            <w:gridSpan w:val="2"/>
            <w:shd w:val="clear" w:color="auto" w:fill="auto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contextualSpacing w:val="0"/>
              <w:jc w:val="left"/>
              <w:spacing w:before="170" w:beforeAutospacing="0" w:after="0" w:line="240" w:lineRule="auto"/>
              <w:rPr>
                <w:rFonts w:ascii="Arial" w:hAnsi="Arial" w:cs="Arial"/>
                <w:sz w:val="24"/>
                <w:szCs w:val="24"/>
              </w:rPr>
              <w:suppressLineNumbers w:val="0"/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contextualSpacing w:val="0"/>
              <w:jc w:val="left"/>
              <w:spacing w:before="170" w:beforeAutospacing="0" w:after="0" w:line="240" w:lineRule="auto"/>
              <w:rPr>
                <w:rFonts w:ascii="Arial" w:hAnsi="Arial" w:cs="Arial"/>
                <w:sz w:val="24"/>
                <w:szCs w:val="24"/>
              </w:rPr>
              <w:suppressLineNumbers w:val="0"/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исполнительный директор </w:t>
            </w:r>
            <w:r>
              <w:rPr>
                <w:rFonts w:ascii="Arial" w:hAnsi="Arial" w:cs="Arial"/>
                <w:sz w:val="24"/>
                <w:szCs w:val="24"/>
              </w:rPr>
              <w:t xml:space="preserve">АО «Чувашская энергосбытовая компания»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shd w:val="clear" w:color="auto" w:fill="auto"/>
            <w:tcMar>
              <w:top w:w="28" w:type="dxa"/>
              <w:bottom w:w="28" w:type="dxa"/>
            </w:tcMar>
            <w:tcW w:w="322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Краснова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Наталия В</w:t>
            </w:r>
            <w:r>
              <w:rPr>
                <w:rFonts w:ascii="Arial" w:hAnsi="Arial" w:cs="Arial"/>
                <w:sz w:val="24"/>
                <w:szCs w:val="24"/>
              </w:rPr>
              <w:t xml:space="preserve">ладимировна 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Mar>
              <w:top w:w="28" w:type="dxa"/>
              <w:bottom w:w="28" w:type="dxa"/>
            </w:tcMar>
            <w:tcW w:w="4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Mar>
              <w:top w:w="28" w:type="dxa"/>
              <w:bottom w:w="28" w:type="dxa"/>
            </w:tcMar>
            <w:tcW w:w="6237" w:type="dxa"/>
            <w:textDirection w:val="lrTb"/>
            <w:noWrap w:val="false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управления экономики АО «Чувашская энергосбытовая компания»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767"/>
        </w:trPr>
        <w:tc>
          <w:tcPr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3227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</w:t>
            </w:r>
            <w:r>
              <w:rPr>
                <w:rFonts w:ascii="Arial" w:hAnsi="Arial" w:cs="Arial"/>
                <w:sz w:val="24"/>
                <w:szCs w:val="24"/>
              </w:rPr>
              <w:t xml:space="preserve">асиленко 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Диана  Васильевна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4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6237" w:type="dxa"/>
            <w:vMerge w:val="restart"/>
            <w:textDirection w:val="lrTb"/>
            <w:noWrap w:val="false"/>
          </w:tcPr>
          <w:p>
            <w:pPr>
              <w:pStyle w:val="942"/>
              <w:ind w:left="0" w:right="0" w:firstLine="0"/>
              <w:jc w:val="both"/>
              <w:widowControl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заместитель исполнительного директора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 xml:space="preserve"> по экономике 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 xml:space="preserve"> и финансам </w:t>
            </w:r>
            <w:r>
              <w:rPr>
                <w:rFonts w:ascii="Arial" w:hAnsi="Arial" w:cs="Arial"/>
                <w:sz w:val="24"/>
                <w:szCs w:val="24"/>
              </w:rPr>
              <w:t xml:space="preserve">ООО «РЭС-Энерго» (по доверенности)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2"/>
          <w:trHeight w:val="767"/>
        </w:trPr>
        <w:tc>
          <w:tcPr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3227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Климов 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Сергей Игоревич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</w:tc>
        <w:tc>
          <w:tcPr>
            <w:gridSpan w:val="2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4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6237" w:type="dxa"/>
            <w:vMerge w:val="restart"/>
            <w:textDirection w:val="lrTb"/>
            <w:noWrap w:val="false"/>
          </w:tcPr>
          <w:p>
            <w:pPr>
              <w:pStyle w:val="942"/>
              <w:ind w:left="0" w:right="0" w:firstLine="0"/>
              <w:jc w:val="both"/>
              <w:widowControl/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заместитель исполнительного директора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 xml:space="preserve"> по 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 xml:space="preserve">реализации и развитию услуг </w:t>
            </w:r>
            <w:r>
              <w:rPr>
                <w:rFonts w:ascii="Arial" w:hAnsi="Arial" w:cs="Arial"/>
                <w:sz w:val="24"/>
                <w:szCs w:val="24"/>
              </w:rPr>
              <w:t xml:space="preserve">ООО «РЭС-Энерго»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 доверенности)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</w:tc>
      </w:tr>
      <w:tr>
        <w:tblPrEx/>
        <w:trPr>
          <w:gridAfter w:val="2"/>
          <w:trHeight w:val="36"/>
        </w:trPr>
        <w:tc>
          <w:tcPr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3227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Ильина Лариса Николаевна 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</w:p>
        </w:tc>
        <w:tc>
          <w:tcPr>
            <w:gridSpan w:val="2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4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gridSpan w:val="4"/>
            <w:shd w:val="clear" w:color="ffffff" w:fill="ffffff"/>
            <w:tcMar>
              <w:left w:w="108" w:type="dxa"/>
              <w:top w:w="28" w:type="dxa"/>
              <w:right w:w="108" w:type="dxa"/>
              <w:bottom w:w="28" w:type="dxa"/>
            </w:tcMar>
            <w:tcW w:w="6237" w:type="dxa"/>
            <w:vMerge w:val="restart"/>
            <w:textDirection w:val="lrTb"/>
            <w:noWrap w:val="false"/>
          </w:tcPr>
          <w:p>
            <w:pPr>
              <w:pStyle w:val="942"/>
              <w:ind w:left="0" w:right="0" w:firstLine="0"/>
              <w:jc w:val="both"/>
              <w:widowControl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t xml:space="preserve">начальник     планово-экономического отдела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  <w:p>
            <w:pPr>
              <w:pStyle w:val="942"/>
              <w:ind w:left="0" w:right="0" w:firstLine="0"/>
              <w:jc w:val="both"/>
              <w:widowControl/>
              <w:rPr>
                <w:rFonts w:ascii="Arial" w:hAnsi="Arial" w:cs="Arial"/>
                <w:b/>
                <w:i/>
                <w:sz w:val="24"/>
                <w:szCs w:val="24"/>
                <w:u w:val="single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t xml:space="preserve">ООО «РЭС-Энерго»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 доверенности)</w:t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14:ligatures w14:val="none"/>
              </w:rPr>
            </w: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  <w14:ligatures w14:val="none"/>
              </w:rPr>
            </w:r>
          </w:p>
        </w:tc>
      </w:tr>
    </w:tbl>
    <w:p>
      <w:pPr>
        <w:ind w:left="0" w:right="0" w:firstLine="709"/>
        <w:jc w:val="both"/>
        <w:rPr>
          <w:rFonts w:ascii="Arial" w:hAnsi="Arial" w:cs="Arial"/>
          <w:b/>
          <w:bCs/>
          <w:sz w:val="24"/>
          <w:szCs w:val="24"/>
          <w:highlight w:val="none"/>
        </w:rPr>
        <w:outlineLvl w:val="0"/>
      </w:pP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sz w:val="24"/>
          <w:szCs w:val="24"/>
          <w14:ligatures w14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14:ligatures w14:val="none"/>
        </w:rPr>
      </w:r>
      <w:r>
        <w:rPr>
          <w:rFonts w:ascii="Arial" w:hAnsi="Arial" w:eastAsia="Arial" w:cs="Arial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sz w:val="24"/>
          <w:szCs w:val="24"/>
          <w:highlight w:val="none"/>
          <w14:ligatures w14:val="none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  <w:t xml:space="preserve">С</w:t>
      </w:r>
      <w:r>
        <w:rPr>
          <w:rFonts w:ascii="Arial" w:hAnsi="Arial" w:eastAsia="Arial" w:cs="Arial"/>
          <w:sz w:val="24"/>
          <w:szCs w:val="24"/>
        </w:rPr>
        <w:t xml:space="preserve">огласно пунктам 36 и 38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Правил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утверждения инвестиционных программ субъектов электроэнергетики</w:t>
      </w:r>
      <w:r>
        <w:rPr>
          <w:rFonts w:ascii="Arial" w:hAnsi="Arial" w:eastAsia="Arial" w:cs="Arial"/>
          <w:sz w:val="24"/>
          <w:szCs w:val="24"/>
        </w:rPr>
        <w:t xml:space="preserve">, </w:t>
      </w:r>
      <w:r>
        <w:rPr>
          <w:rFonts w:ascii="Arial" w:hAnsi="Arial" w:eastAsia="Arial" w:cs="Arial"/>
          <w:sz w:val="24"/>
          <w:szCs w:val="24"/>
        </w:rPr>
        <w:t xml:space="preserve">утвержденных постановлением Правительства Российской Федерации от 1 декабря 2009 г. № </w:t>
      </w:r>
      <w:r>
        <w:rPr>
          <w:rFonts w:ascii="Arial" w:hAnsi="Arial" w:eastAsia="Arial" w:cs="Arial"/>
          <w:sz w:val="24"/>
          <w:szCs w:val="24"/>
        </w:rPr>
        <w:t xml:space="preserve">977 (далее – Правила)</w:t>
      </w:r>
      <w:r>
        <w:rPr>
          <w:rFonts w:ascii="Arial" w:hAnsi="Arial" w:eastAsia="Arial" w:cs="Arial"/>
          <w:sz w:val="24"/>
          <w:szCs w:val="24"/>
        </w:rPr>
        <w:t xml:space="preserve">,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Минпромэнерго Чувашии  и </w:t>
      </w:r>
      <w:r>
        <w:rPr>
          <w:rFonts w:ascii="Arial" w:hAnsi="Arial" w:eastAsia="Arial" w:cs="Arial"/>
          <w:sz w:val="24"/>
          <w:szCs w:val="24"/>
        </w:rPr>
        <w:t xml:space="preserve">Госслужбой Чувашии по </w:t>
      </w:r>
      <w:r>
        <w:rPr>
          <w:rFonts w:ascii="Arial" w:hAnsi="Arial" w:eastAsia="Arial" w:cs="Arial"/>
          <w:sz w:val="24"/>
          <w:szCs w:val="24"/>
        </w:rPr>
        <w:t xml:space="preserve">конкурентной политике и тарифам</w:t>
      </w:r>
      <w:r>
        <w:rPr>
          <w:rFonts w:ascii="Arial" w:hAnsi="Arial" w:eastAsia="Arial" w:cs="Arial"/>
          <w:sz w:val="24"/>
          <w:szCs w:val="24"/>
        </w:rPr>
        <w:t xml:space="preserve"> (да</w:t>
      </w:r>
      <w:r>
        <w:rPr>
          <w:rFonts w:ascii="Arial" w:hAnsi="Arial" w:eastAsia="Arial" w:cs="Arial"/>
          <w:sz w:val="24"/>
          <w:szCs w:val="24"/>
        </w:rPr>
        <w:t xml:space="preserve">лее – Госслужба) направлены </w:t>
      </w:r>
      <w:r>
        <w:rPr>
          <w:rFonts w:ascii="Arial" w:hAnsi="Arial" w:eastAsia="Arial" w:cs="Arial"/>
          <w:sz w:val="24"/>
          <w:szCs w:val="24"/>
        </w:rPr>
        <w:t xml:space="preserve">заклю</w:t>
      </w:r>
      <w:r>
        <w:rPr>
          <w:rFonts w:ascii="Arial" w:hAnsi="Arial" w:eastAsia="Arial" w:cs="Arial"/>
          <w:sz w:val="24"/>
          <w:szCs w:val="24"/>
        </w:rPr>
        <w:t xml:space="preserve">чения, </w:t>
      </w:r>
      <w:r>
        <w:rPr>
          <w:rFonts w:ascii="Arial" w:hAnsi="Arial" w:eastAsia="Arial" w:cs="Arial"/>
          <w:sz w:val="24"/>
          <w:szCs w:val="24"/>
        </w:rPr>
        <w:t xml:space="preserve">содержащие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замечания и пред</w:t>
      </w:r>
      <w:r>
        <w:rPr>
          <w:rFonts w:ascii="Arial" w:hAnsi="Arial" w:eastAsia="Arial" w:cs="Arial"/>
          <w:sz w:val="24"/>
          <w:szCs w:val="24"/>
        </w:rPr>
        <w:t xml:space="preserve">ложения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по доработке </w:t>
      </w:r>
      <w:r>
        <w:rPr>
          <w:rFonts w:ascii="Arial" w:hAnsi="Arial" w:eastAsia="Arial" w:cs="Arial"/>
          <w:sz w:val="24"/>
          <w:szCs w:val="24"/>
        </w:rPr>
        <w:t xml:space="preserve">(далее – разногласия)</w:t>
      </w:r>
      <w:r>
        <w:rPr>
          <w:rFonts w:ascii="Arial" w:hAnsi="Arial" w:eastAsia="Arial" w:cs="Arial"/>
          <w:sz w:val="24"/>
          <w:szCs w:val="24"/>
        </w:rPr>
        <w:t xml:space="preserve">: </w:t>
      </w:r>
      <w:r>
        <w:rPr>
          <w:rFonts w:ascii="Arial" w:hAnsi="Arial" w:eastAsia="Arial" w:cs="Arial"/>
          <w:sz w:val="24"/>
          <w:szCs w:val="24"/>
          <w:highlight w:val="none"/>
          <w14:ligatures w14:val="none"/>
        </w:rPr>
      </w:r>
      <w:r>
        <w:rPr>
          <w:rFonts w:ascii="Arial" w:hAnsi="Arial" w:eastAsia="Arial" w:cs="Arial"/>
          <w:sz w:val="24"/>
          <w:szCs w:val="24"/>
          <w:highlight w:val="none"/>
          <w14:ligatures w14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sz w:val="24"/>
          <w:szCs w:val="24"/>
          <w14:ligatures w14:val="none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  <w:t xml:space="preserve">- 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проекта</w:t>
      </w:r>
      <w:r>
        <w:rPr>
          <w:rFonts w:ascii="Arial" w:hAnsi="Arial" w:eastAsia="Arial" w:cs="Arial"/>
          <w:sz w:val="24"/>
          <w:szCs w:val="24"/>
        </w:rPr>
        <w:t xml:space="preserve"> изменений </w:t>
      </w:r>
      <w:r>
        <w:rPr>
          <w:rFonts w:ascii="Arial" w:hAnsi="Arial" w:eastAsia="Arial" w:cs="Arial"/>
          <w:sz w:val="24"/>
          <w:szCs w:val="24"/>
        </w:rPr>
        <w:t xml:space="preserve">на 2025-2028</w:t>
      </w:r>
      <w:r>
        <w:rPr>
          <w:rFonts w:ascii="Arial" w:hAnsi="Arial" w:eastAsia="Arial" w:cs="Arial"/>
          <w:sz w:val="24"/>
          <w:szCs w:val="24"/>
        </w:rPr>
        <w:t xml:space="preserve"> годы, </w:t>
      </w:r>
      <w:r>
        <w:rPr>
          <w:rFonts w:ascii="Arial" w:hAnsi="Arial" w:eastAsia="Arial" w:cs="Arial"/>
          <w:sz w:val="24"/>
          <w:szCs w:val="24"/>
        </w:rPr>
        <w:t xml:space="preserve">которые </w:t>
      </w:r>
      <w:r>
        <w:rPr>
          <w:rFonts w:ascii="Arial" w:hAnsi="Arial" w:eastAsia="Arial" w:cs="Arial"/>
          <w:sz w:val="24"/>
          <w:szCs w:val="24"/>
        </w:rPr>
        <w:t xml:space="preserve">вносятся </w:t>
      </w:r>
      <w:r>
        <w:rPr>
          <w:rFonts w:ascii="Arial" w:hAnsi="Arial" w:eastAsia="Arial" w:cs="Arial"/>
          <w:sz w:val="24"/>
          <w:szCs w:val="24"/>
        </w:rPr>
        <w:t xml:space="preserve">в инвестиционную программу акционерного общества </w:t>
      </w:r>
      <w:r>
        <w:rPr>
          <w:rFonts w:ascii="Arial" w:hAnsi="Arial" w:eastAsia="Arial" w:cs="Arial"/>
          <w:sz w:val="24"/>
          <w:szCs w:val="24"/>
        </w:rPr>
        <w:t xml:space="preserve">«</w:t>
      </w:r>
      <w:r>
        <w:rPr>
          <w:rFonts w:ascii="Arial" w:hAnsi="Arial" w:eastAsia="Arial" w:cs="Arial"/>
          <w:sz w:val="24"/>
          <w:szCs w:val="24"/>
        </w:rPr>
        <w:t xml:space="preserve">Ч</w:t>
      </w:r>
      <w:r>
        <w:rPr>
          <w:rFonts w:ascii="Arial" w:hAnsi="Arial" w:eastAsia="Arial" w:cs="Arial"/>
          <w:sz w:val="24"/>
          <w:szCs w:val="24"/>
        </w:rPr>
        <w:t xml:space="preserve">увашская энергосбытовая компания» </w:t>
      </w:r>
      <w:r>
        <w:rPr>
          <w:rFonts w:ascii="Arial" w:hAnsi="Arial" w:eastAsia="Arial" w:cs="Arial"/>
          <w:sz w:val="24"/>
          <w:szCs w:val="24"/>
        </w:rPr>
        <w:t xml:space="preserve">на </w:t>
        <w:br/>
      </w:r>
      <w:r>
        <w:rPr>
          <w:rFonts w:ascii="Arial" w:hAnsi="Arial" w:eastAsia="Arial" w:cs="Arial"/>
          <w:sz w:val="24"/>
          <w:szCs w:val="24"/>
        </w:rPr>
        <w:t xml:space="preserve">2024-2028 </w:t>
      </w:r>
      <w:r>
        <w:rPr>
          <w:rFonts w:ascii="Arial" w:hAnsi="Arial" w:eastAsia="Arial" w:cs="Arial"/>
          <w:sz w:val="24"/>
          <w:szCs w:val="24"/>
        </w:rPr>
        <w:t xml:space="preserve">годы</w:t>
      </w:r>
      <w:r>
        <w:rPr>
          <w:rFonts w:ascii="Arial" w:hAnsi="Arial" w:eastAsia="Arial" w:cs="Arial"/>
          <w:sz w:val="24"/>
          <w:szCs w:val="24"/>
        </w:rPr>
        <w:t xml:space="preserve"> (далее – Проект изменений ИПР АО «Ч</w:t>
      </w:r>
      <w:r>
        <w:rPr>
          <w:rFonts w:ascii="Arial" w:hAnsi="Arial" w:eastAsia="Arial" w:cs="Arial"/>
          <w:sz w:val="24"/>
          <w:szCs w:val="24"/>
        </w:rPr>
        <w:t xml:space="preserve">Э</w:t>
      </w:r>
      <w:r>
        <w:rPr>
          <w:rFonts w:ascii="Arial" w:hAnsi="Arial" w:eastAsia="Arial" w:cs="Arial"/>
          <w:sz w:val="24"/>
          <w:szCs w:val="24"/>
        </w:rPr>
        <w:t xml:space="preserve">СК»)</w:t>
      </w:r>
      <w:r>
        <w:rPr>
          <w:rFonts w:ascii="Arial" w:hAnsi="Arial" w:eastAsia="Arial" w:cs="Arial"/>
          <w:sz w:val="24"/>
          <w:szCs w:val="24"/>
        </w:rPr>
        <w:t xml:space="preserve">;</w:t>
      </w:r>
      <w:r>
        <w:rPr>
          <w:rFonts w:ascii="Arial" w:hAnsi="Arial" w:eastAsia="Arial" w:cs="Arial"/>
          <w:sz w:val="24"/>
          <w:szCs w:val="24"/>
          <w14:ligatures w14:val="none"/>
        </w:rPr>
      </w:r>
      <w:r>
        <w:rPr>
          <w:rFonts w:ascii="Arial" w:hAnsi="Arial" w:eastAsia="Arial" w:cs="Arial"/>
          <w:sz w:val="24"/>
          <w:szCs w:val="24"/>
          <w14:ligatures w14:val="none"/>
        </w:rPr>
      </w:r>
    </w:p>
    <w:p>
      <w:pPr>
        <w:contextualSpacing/>
        <w:ind w:left="0" w:right="0" w:firstLine="709"/>
        <w:jc w:val="both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eastAsia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проекта </w:t>
      </w:r>
      <w:r>
        <w:rPr>
          <w:rFonts w:ascii="Arial" w:hAnsi="Arial" w:cs="Arial"/>
          <w:sz w:val="24"/>
          <w:szCs w:val="24"/>
        </w:rPr>
        <w:t xml:space="preserve">инвестиционной программы</w:t>
      </w:r>
      <w:r>
        <w:rPr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общества с ограниченной ответственностью </w:t>
      </w:r>
      <w:r>
        <w:rPr>
          <w:rFonts w:ascii="Arial" w:hAnsi="Arial" w:cs="Arial"/>
          <w:sz w:val="24"/>
          <w:szCs w:val="24"/>
        </w:rPr>
        <w:t xml:space="preserve">«РЭС-Энерго»</w:t>
      </w:r>
      <w:r>
        <w:rPr>
          <w:rFonts w:ascii="Arial" w:hAnsi="Arial" w:cs="Arial"/>
          <w:sz w:val="24"/>
          <w:szCs w:val="24"/>
          <w14:ligatures w14:val="none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сфере электроэнергетики на 2025-2028</w:t>
      </w:r>
      <w:r>
        <w:rPr>
          <w:rFonts w:ascii="Arial" w:hAnsi="Arial" w:cs="Arial"/>
          <w:sz w:val="24"/>
          <w:szCs w:val="24"/>
        </w:rPr>
        <w:t xml:space="preserve"> годы</w:t>
      </w:r>
      <w:r>
        <w:rPr>
          <w:rFonts w:ascii="Arial" w:hAnsi="Arial" w:cs="Arial"/>
          <w:sz w:val="24"/>
          <w:szCs w:val="24"/>
          <w14:ligatures w14:val="none"/>
        </w:rPr>
        <w:t xml:space="preserve"> (далее – проект ИПР ООО «РЭС-Энерго»).</w: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sz w:val="24"/>
          <w:szCs w:val="24"/>
          <w14:ligatures w14:val="none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14:ligatures w14:val="none"/>
        </w:rPr>
      </w:r>
      <w:r>
        <w:rPr>
          <w:rFonts w:ascii="Arial" w:hAnsi="Arial" w:eastAsia="Arial" w:cs="Arial"/>
          <w:sz w:val="24"/>
          <w:szCs w:val="24"/>
          <w14:ligatures w14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outlineLvl w:val="0"/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1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.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О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принятии решений в отношении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разногласий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по Проекту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изменений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ИПР АО «Ч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Э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СК»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указанных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в заключении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Госслужбы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направленном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АО «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увашская энергосб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ытовая компания»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пи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сь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мом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от 18 июля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202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4 г.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№ 02/12-2-2031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(далее в настоящем пункте –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заключение Госслужбы):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jc w:val="center"/>
        <w:spacing w:before="34" w:before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-4350</wp:posOffset>
                </wp:positionH>
                <wp:positionV relativeFrom="paragraph">
                  <wp:posOffset>18544</wp:posOffset>
                </wp:positionV>
                <wp:extent cx="6125115" cy="0"/>
                <wp:effectExtent l="3174" t="3174" r="3174" b="3174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0">
                          <a:off x="0" y="0"/>
                          <a:ext cx="6125114" cy="0"/>
                        </a:xfrm>
                        <a:prstGeom prst="line">
                          <a:avLst/>
                        </a:prstGeom>
                        <a:ln w="6349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3072;mso-wrap-distance-left:9.07pt;mso-wrap-distance-top:0.00pt;mso-wrap-distance-right:9.07pt;mso-wrap-distance-bottom:0.00pt;flip:x;visibility:visible;" from="-0.3pt,1.5pt" to="481.9pt,1.5pt" filled="f" strokecolor="#000000" strokeweight="0.50pt">
                <v:stroke dashstyle="solid"/>
              </v:line>
            </w:pict>
          </mc:Fallback>
        </mc:AlternateContent>
      </w:r>
      <w:r>
        <w:rPr>
          <w:rFonts w:ascii="Arial" w:hAnsi="Arial" w:cs="Arial"/>
          <w:b w:val="0"/>
          <w:bCs w:val="0"/>
          <w:sz w:val="24"/>
          <w:szCs w:val="24"/>
        </w:rPr>
        <w:t xml:space="preserve">(Лекарев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С.Н., </w:t>
      </w:r>
      <w:r>
        <w:rPr>
          <w:rFonts w:ascii="Arial" w:hAnsi="Arial" w:cs="Arial"/>
          <w:sz w:val="24"/>
          <w:szCs w:val="24"/>
        </w:rPr>
        <w:t xml:space="preserve">Павлова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Н.М., </w:t>
      </w:r>
      <w:r>
        <w:rPr>
          <w:rFonts w:ascii="Arial" w:hAnsi="Arial" w:cs="Arial"/>
          <w:sz w:val="24"/>
          <w:szCs w:val="24"/>
        </w:rPr>
        <w:t xml:space="preserve">Можаева </w:t>
      </w:r>
      <w:r>
        <w:rPr>
          <w:rFonts w:ascii="Arial" w:hAnsi="Arial" w:cs="Arial"/>
          <w:sz w:val="24"/>
          <w:szCs w:val="24"/>
        </w:rPr>
        <w:t xml:space="preserve">И.Г.,</w:t>
      </w:r>
      <w:r>
        <w:rPr>
          <w:rFonts w:ascii="Arial" w:hAnsi="Arial" w:cs="Arial"/>
          <w:sz w:val="24"/>
          <w:szCs w:val="24"/>
        </w:rPr>
        <w:t xml:space="preserve"> Егоров</w:t>
      </w:r>
      <w:r>
        <w:rPr>
          <w:rFonts w:ascii="Arial" w:hAnsi="Arial" w:cs="Arial"/>
          <w:sz w:val="24"/>
          <w:szCs w:val="24"/>
        </w:rPr>
        <w:t xml:space="preserve"> С.Ф., </w:t>
      </w:r>
      <w:r>
        <w:rPr>
          <w:rFonts w:ascii="Arial" w:hAnsi="Arial" w:cs="Arial"/>
          <w:sz w:val="24"/>
          <w:szCs w:val="24"/>
        </w:rPr>
        <w:t xml:space="preserve">Владимирова </w:t>
      </w:r>
      <w:r>
        <w:rPr>
          <w:rFonts w:ascii="Arial" w:hAnsi="Arial" w:cs="Arial"/>
          <w:sz w:val="24"/>
          <w:szCs w:val="24"/>
        </w:rPr>
        <w:t xml:space="preserve">А.В., </w:t>
      </w:r>
      <w:r>
        <w:rPr>
          <w:rFonts w:ascii="Arial" w:hAnsi="Arial" w:cs="Arial"/>
          <w:sz w:val="24"/>
          <w:szCs w:val="24"/>
        </w:rPr>
        <w:t xml:space="preserve">Константинов </w:t>
      </w:r>
      <w:r>
        <w:rPr>
          <w:rFonts w:ascii="Arial" w:hAnsi="Arial" w:cs="Arial"/>
          <w:sz w:val="24"/>
          <w:szCs w:val="24"/>
        </w:rPr>
        <w:t xml:space="preserve">Д.А., Краснова Н.В.)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ind w:firstLine="709"/>
        <w:jc w:val="center"/>
        <w:rPr>
          <w:rFonts w:ascii="Arial" w:hAnsi="Arial" w:cs="Arial"/>
          <w:b/>
          <w:bCs/>
          <w:color w:val="1809ed"/>
          <w:sz w:val="24"/>
          <w:szCs w:val="24"/>
          <w:highlight w:val="none"/>
          <w:u w:val="single"/>
        </w:rPr>
      </w:pPr>
      <w:r>
        <w:rPr>
          <w:rFonts w:ascii="Arial" w:hAnsi="Arial" w:cs="Arial"/>
          <w:b/>
          <w:bCs/>
          <w:color w:val="1809ed"/>
          <w:sz w:val="24"/>
          <w:szCs w:val="24"/>
          <w:highlight w:val="none"/>
          <w:u w:val="single"/>
        </w:rPr>
      </w:r>
      <w:r>
        <w:rPr>
          <w:rFonts w:ascii="Arial" w:hAnsi="Arial" w:cs="Arial"/>
          <w:b/>
          <w:bCs/>
          <w:color w:val="1809ed"/>
          <w:sz w:val="24"/>
          <w:szCs w:val="24"/>
          <w:highlight w:val="none"/>
          <w:u w:val="single"/>
        </w:rPr>
      </w:r>
      <w:r>
        <w:rPr>
          <w:rFonts w:ascii="Arial" w:hAnsi="Arial" w:cs="Arial"/>
          <w:b/>
          <w:bCs/>
          <w:color w:val="1809ed"/>
          <w:sz w:val="24"/>
          <w:szCs w:val="24"/>
          <w:highlight w:val="none"/>
          <w:u w:val="singl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pP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1.1. В целях 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урегулирования разногласий 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по Проекту изменени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u w:val="none"/>
        </w:rPr>
        <w:t xml:space="preserve">й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</w:t>
        <w:br/>
        <w:t xml:space="preserve">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указанных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 заключении Госслужбы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 пункте 1 замечаний (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в части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исключения из 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Проекта изменени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u w:val="none"/>
        </w:rPr>
        <w:t xml:space="preserve">й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инвестиционных проектов по приобретению информационных киосков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) и в пункте 3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замечаний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(в части представления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в обоснование стоимости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не менее трех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актуальных коммерческих предложений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), </w:t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pP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  <w:outlineLvl w:val="0"/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РЕШИЛИ: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:u w:val="none"/>
        </w:rPr>
        <w:outlineLvl w:val="0"/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При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д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оработк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е 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АО «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увашская энергосбытовая компания»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Проекта изменений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устранить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замечания,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указанные в пунктах 1 и 3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заключения 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Госслужбы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14:ligatures w14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АО «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увашская энергосбытовая компания»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представить </w:t>
      </w: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</w:rPr>
        <w:t xml:space="preserve">после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получения решения Кабинета Министров Чувашской Республик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и в Минпромэнерго Чувашии, согласно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подпункту «д»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пункта 4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постановления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2 июня 2023 г. №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923,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информацию о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доработанном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Проекте изменений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и об обосновывающих инвестиционную программу материалах  для её раскрытия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пунктом 42 Правил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</w:t>
      </w:r>
      <w:r>
        <w:rPr>
          <w:rFonts w:ascii="Arial" w:hAnsi="Arial" w:cs="Arial"/>
          <w:color w:val="000000" w:themeColor="text1"/>
          <w14:ligatures w14:val="none"/>
        </w:rPr>
      </w:r>
      <w:r>
        <w:rPr>
          <w:rFonts w:ascii="Arial" w:hAnsi="Arial" w:cs="Arial"/>
          <w:color w:val="000000" w:themeColor="text1"/>
          <w14:ligatures w14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outlineLvl w:val="0"/>
      </w:pP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Срок: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не позднее срока раскрытия информации о доработанном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Проекте изменений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, предусмотренного пунктом 42 Правил.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cs="Arial"/>
          <w:sz w:val="24"/>
          <w:szCs w:val="24"/>
          <w:highlight w:val="none"/>
          <w:u w:val="none"/>
        </w:rPr>
      </w:r>
      <w:r>
        <w:rPr>
          <w:rFonts w:ascii="Arial" w:hAnsi="Arial" w:cs="Arial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sz w:val="24"/>
          <w:szCs w:val="24"/>
        </w:rPr>
        <w:t xml:space="preserve">1.2. </w:t>
      </w:r>
      <w:r>
        <w:rPr>
          <w:rFonts w:ascii="Arial" w:hAnsi="Arial" w:cs="Arial"/>
          <w:sz w:val="24"/>
          <w:szCs w:val="24"/>
          <w:u w:val="none"/>
        </w:rPr>
        <w:t xml:space="preserve">В связи с наличием</w:t>
      </w:r>
      <w:r>
        <w:rPr>
          <w:rFonts w:ascii="Arial" w:hAnsi="Arial" w:cs="Arial"/>
          <w:sz w:val="24"/>
          <w:szCs w:val="24"/>
          <w:u w:val="none"/>
        </w:rPr>
        <w:t xml:space="preserve"> неурегулированных разногласий </w:t>
      </w:r>
      <w:r>
        <w:rPr>
          <w:rFonts w:ascii="Arial" w:hAnsi="Arial" w:eastAsia="Arial" w:cs="Arial"/>
          <w:sz w:val="24"/>
          <w:szCs w:val="24"/>
          <w:u w:val="none"/>
        </w:rPr>
        <w:t xml:space="preserve">по Проекту изменени</w:t>
      </w:r>
      <w:r>
        <w:rPr>
          <w:rFonts w:ascii="Arial" w:hAnsi="Arial" w:eastAsia="Arial" w:cs="Arial"/>
          <w:b w:val="0"/>
          <w:bCs w:val="0"/>
          <w:sz w:val="24"/>
          <w:szCs w:val="24"/>
          <w:u w:val="none"/>
        </w:rPr>
        <w:t xml:space="preserve">й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eastAsia="Arial" w:cs="Arial"/>
          <w:b w:val="0"/>
          <w:bCs w:val="0"/>
          <w:sz w:val="24"/>
          <w:szCs w:val="24"/>
          <w:u w:val="none"/>
        </w:rPr>
        <w:t xml:space="preserve">, указанных в 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заключении </w:t>
      </w:r>
      <w:r>
        <w:rPr>
          <w:rFonts w:ascii="Arial" w:hAnsi="Arial" w:eastAsia="Arial" w:cs="Arial"/>
          <w:color w:val="auto"/>
          <w:sz w:val="24"/>
          <w:szCs w:val="24"/>
          <w:u w:val="none"/>
        </w:rPr>
        <w:t xml:space="preserve">Госслужбы</w:t>
      </w:r>
      <w:r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(за исключением 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урегулированных</w:t>
      </w:r>
      <w:r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разногласий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 по </w:t>
      </w:r>
      <w:r>
        <w:rPr>
          <w:rFonts w:ascii="Arial" w:hAnsi="Arial" w:eastAsia="Arial" w:cs="Arial"/>
          <w:sz w:val="24"/>
          <w:szCs w:val="24"/>
        </w:rPr>
        <w:t xml:space="preserve">Проекту изменений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, 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отраженных в пункте 1.1 настоящего протокола),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cs="Arial"/>
          <w:b/>
          <w:bCs/>
          <w:sz w:val="24"/>
          <w:szCs w:val="24"/>
        </w:rPr>
        <w:t xml:space="preserve">РЕШИЛИ: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Во исполнение пункта 41 Правил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Минпромэнерго Чувашии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 направить в Кабинет Министров Чувашской Республики обращение о рассмотрении неурегулированных замечаний и разногласий по Проекту </w:t>
      </w:r>
      <w:r>
        <w:rPr>
          <w:rFonts w:ascii="Arial" w:hAnsi="Arial" w:eastAsia="Arial" w:cs="Arial"/>
          <w:sz w:val="24"/>
          <w:szCs w:val="24"/>
        </w:rPr>
        <w:t xml:space="preserve">изменений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ИПР </w:t>
        <w:br/>
        <w:t xml:space="preserve">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 после подписания настоящего протокола.</w:t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Срок: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 в течение 3 рабочих дней после дня получения подписанного Госслужбой 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настоящего  протокола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.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1809ed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1809ed"/>
          <w:sz w:val="24"/>
          <w:szCs w:val="24"/>
          <w:highlight w:val="none"/>
          <w:u w:val="single"/>
        </w:rPr>
      </w:r>
      <w:r>
        <w:rPr>
          <w:rFonts w:ascii="Arial" w:hAnsi="Arial" w:cs="Arial"/>
          <w:b/>
          <w:bCs/>
          <w:color w:val="1809ed"/>
          <w:sz w:val="24"/>
          <w:szCs w:val="24"/>
          <w:u w:val="single"/>
        </w:rPr>
      </w:r>
      <w:r>
        <w:rPr>
          <w:rFonts w:ascii="Arial" w:hAnsi="Arial" w:cs="Arial"/>
          <w:b/>
          <w:bCs/>
          <w:color w:val="1809ed"/>
          <w:sz w:val="24"/>
          <w:szCs w:val="24"/>
          <w:u w:val="single"/>
        </w:rPr>
      </w:r>
    </w:p>
    <w:p>
      <w:pPr>
        <w:ind w:left="0" w:right="0" w:firstLine="0"/>
        <w:jc w:val="center"/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2. О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принятии решений в отношении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разногласий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по Проекту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изменений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ИПР АО «Ч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Э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СК»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 указанных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в заключении Минпромэнерго Чувашии,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направленном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АО «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увашская энергосб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ытовая компания»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highlight w:val="none"/>
          <w:u w:val="non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пи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сь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мом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от 14 августа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02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4 г.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№ 05/10-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3083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(далее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в настоящем пункте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– заключение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Минпромэнерго Чувашии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):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highlight w:val="none"/>
          <w:u w:val="none"/>
        </w:rPr>
      </w:r>
    </w:p>
    <w:p>
      <w:pPr>
        <w:jc w:val="center"/>
        <w:spacing w:before="34" w:beforeAutospacing="0"/>
        <w:rPr>
          <w:rFonts w:ascii="Arial" w:hAnsi="Arial" w:cs="Arial"/>
          <w:highlight w:val="none"/>
          <w14:ligatures w14:val="none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-4350</wp:posOffset>
                </wp:positionH>
                <wp:positionV relativeFrom="paragraph">
                  <wp:posOffset>18544</wp:posOffset>
                </wp:positionV>
                <wp:extent cx="6125115" cy="0"/>
                <wp:effectExtent l="3174" t="3174" r="3174" b="3174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0">
                          <a:off x="0" y="0"/>
                          <a:ext cx="6125113" cy="0"/>
                        </a:xfrm>
                        <a:prstGeom prst="line">
                          <a:avLst/>
                        </a:prstGeom>
                        <a:ln w="6349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3072;mso-wrap-distance-left:9.07pt;mso-wrap-distance-top:0.00pt;mso-wrap-distance-right:9.07pt;mso-wrap-distance-bottom:0.00pt;flip:x;visibility:visible;" from="-0.3pt,1.5pt" to="481.9pt,1.5pt" filled="f" strokecolor="#000000" strokeweight="0.50pt">
                <v:stroke dashstyle="solid"/>
              </v:line>
            </w:pict>
          </mc:Fallback>
        </mc:AlternateConten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(Лекарев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С.Н.,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Павлова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Н.М.,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Можаева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И.Г.,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Константинов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Д.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А., Краснова Н.В.)</w:t>
      </w:r>
      <w:r>
        <w:rPr>
          <w:rFonts w:ascii="Arial" w:hAnsi="Arial" w:cs="Arial"/>
          <w:highlight w:val="none"/>
          <w14:ligatures w14:val="none"/>
        </w:rPr>
      </w:r>
      <w:r>
        <w:rPr>
          <w:rFonts w:ascii="Arial" w:hAnsi="Arial" w:cs="Arial"/>
          <w:highlight w:val="none"/>
          <w14:ligatures w14:val="none"/>
        </w:rPr>
      </w:r>
    </w:p>
    <w:p>
      <w:pPr>
        <w:jc w:val="center"/>
        <w:spacing w:before="34" w:beforeAutospacing="0"/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pP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color w:val="auto"/>
          <w:sz w:val="24"/>
          <w:szCs w:val="24"/>
          <w:highlight w:val="none"/>
          <w:u w:val="none"/>
        </w:rPr>
      </w:pPr>
      <w:r>
        <w:rPr>
          <w:rFonts w:ascii="Arial" w:hAnsi="Arial" w:cs="Arial"/>
          <w:color w:val="auto"/>
          <w:sz w:val="24"/>
          <w:szCs w:val="24"/>
          <w:u w:val="none"/>
        </w:rPr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В целях 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урегулирования разногласий </w:t>
      </w:r>
      <w:r>
        <w:rPr>
          <w:rFonts w:ascii="Arial" w:hAnsi="Arial" w:eastAsia="Arial" w:cs="Arial"/>
          <w:color w:val="auto"/>
          <w:sz w:val="24"/>
          <w:szCs w:val="24"/>
          <w:u w:val="none"/>
        </w:rPr>
        <w:t xml:space="preserve">по Проекту изменени</w:t>
      </w:r>
      <w:r>
        <w:rPr>
          <w:rFonts w:ascii="Arial" w:hAnsi="Arial" w:eastAsia="Arial" w:cs="Arial"/>
          <w:b w:val="0"/>
          <w:bCs w:val="0"/>
          <w:color w:val="auto"/>
          <w:sz w:val="24"/>
          <w:szCs w:val="24"/>
          <w:u w:val="none"/>
        </w:rPr>
        <w:t xml:space="preserve">й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</w:t>
        <w:br/>
        <w:t xml:space="preserve">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указанных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 заключении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Минпромэнерго Чувашии, </w:t>
      </w:r>
      <w:r>
        <w:rPr>
          <w:rFonts w:ascii="Arial" w:hAnsi="Arial" w:eastAsia="Arial" w:cs="Arial"/>
          <w:b w:val="0"/>
          <w:bCs w:val="0"/>
          <w:color w:val="auto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color w:val="auto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auto"/>
          <w:sz w:val="24"/>
          <w:szCs w:val="24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color w:val="auto"/>
          <w:sz w:val="24"/>
          <w:szCs w:val="24"/>
          <w:u w:val="single"/>
        </w:rPr>
      </w:pPr>
      <w:r>
        <w:rPr>
          <w:rFonts w:ascii="Arial" w:hAnsi="Arial" w:cs="Arial"/>
          <w:color w:val="auto"/>
          <w:sz w:val="24"/>
          <w:szCs w:val="24"/>
          <w:highlight w:val="none"/>
          <w:u w:val="single"/>
        </w:rPr>
      </w:r>
      <w:r>
        <w:rPr>
          <w:rFonts w:ascii="Arial" w:hAnsi="Arial" w:cs="Arial"/>
          <w:color w:val="auto"/>
          <w:sz w:val="24"/>
          <w:szCs w:val="24"/>
          <w:u w:val="single"/>
        </w:rPr>
      </w:r>
      <w:r>
        <w:rPr>
          <w:rFonts w:ascii="Arial" w:hAnsi="Arial" w:cs="Arial"/>
          <w:color w:val="auto"/>
          <w:sz w:val="24"/>
          <w:szCs w:val="24"/>
          <w:u w:val="single"/>
        </w:rPr>
      </w:r>
    </w:p>
    <w:p>
      <w:pPr>
        <w:ind w:firstLine="709"/>
        <w:jc w:val="both"/>
        <w:rPr>
          <w:rFonts w:ascii="Arial" w:hAnsi="Arial" w:cs="Arial"/>
          <w:b/>
          <w:bCs/>
          <w:color w:val="auto"/>
          <w:sz w:val="24"/>
          <w:szCs w:val="24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РЕШИЛИ:</w:t>
      </w:r>
      <w:r>
        <w:rPr>
          <w:rFonts w:ascii="Arial" w:hAnsi="Arial" w:cs="Arial"/>
          <w:b/>
          <w:bCs/>
          <w:color w:val="auto"/>
          <w:sz w:val="24"/>
          <w:szCs w:val="24"/>
        </w:rPr>
      </w:r>
      <w:r>
        <w:rPr>
          <w:rFonts w:ascii="Arial" w:hAnsi="Arial" w:cs="Arial"/>
          <w:b/>
          <w:bCs/>
          <w:color w:val="auto"/>
          <w:sz w:val="24"/>
          <w:szCs w:val="24"/>
        </w:rPr>
      </w:r>
    </w:p>
    <w:p>
      <w:pPr>
        <w:ind w:firstLine="709"/>
        <w:jc w:val="both"/>
        <w:rPr>
          <w:rFonts w:ascii="Arial" w:hAnsi="Arial" w:cs="Arial"/>
          <w:color w:val="auto"/>
          <w:sz w:val="24"/>
          <w:szCs w:val="24"/>
          <w:u w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color w:val="auto"/>
          <w:sz w:val="24"/>
          <w:szCs w:val="24"/>
          <w:u w:val="none"/>
        </w:rPr>
      </w:r>
      <w:r>
        <w:rPr>
          <w:rFonts w:ascii="Arial" w:hAnsi="Arial" w:cs="Arial"/>
          <w:color w:val="auto"/>
          <w:sz w:val="24"/>
          <w:szCs w:val="24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:u w:val="none"/>
        </w:rPr>
        <w:outlineLvl w:val="0"/>
      </w:pPr>
      <w:r>
        <w:rPr>
          <w:rFonts w:ascii="Arial" w:hAnsi="Arial" w:cs="Arial"/>
          <w:bCs/>
          <w:color w:val="auto"/>
          <w:sz w:val="24"/>
          <w:szCs w:val="24"/>
          <w:highlight w:val="none"/>
          <w:u w:val="none"/>
        </w:rPr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При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д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оработк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е 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АО «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увашская энергосбытовая компания»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Проекта изменений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устранить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замечания,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указанные в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заключении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Минпромэнерго Чувашии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14:ligatures w14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Представить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Минпромэнерго Чувашии </w:t>
      </w: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</w:rPr>
        <w:t xml:space="preserve">после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получения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 АО «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Ч</w:t>
      </w:r>
      <w:r>
        <w:rPr>
          <w:rFonts w:ascii="Arial" w:hAnsi="Arial" w:eastAsia="Arial" w:cs="Arial"/>
          <w:color w:val="000000" w:themeColor="text1"/>
          <w:sz w:val="24"/>
          <w:szCs w:val="24"/>
          <w:u w:val="none"/>
        </w:rPr>
        <w:t xml:space="preserve">увашская энергосбытовая компания»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решения Кабинета Министров Чувашской Республики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согласно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подпункту «д»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пункта 4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постановления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2 июня 2023 г. №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923,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информацию о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доработанном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Проекте изменений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и об обосновывающих инвестиционную программу материалах  для её раскрытия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пунктом 42 Правил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</w:t>
      </w:r>
      <w:r>
        <w:rPr>
          <w:rFonts w:ascii="Arial" w:hAnsi="Arial" w:cs="Arial"/>
          <w:color w:val="000000" w:themeColor="text1"/>
          <w14:ligatures w14:val="none"/>
        </w:rPr>
      </w:r>
      <w:r>
        <w:rPr>
          <w:rFonts w:ascii="Arial" w:hAnsi="Arial" w:cs="Arial"/>
          <w:color w:val="000000" w:themeColor="text1"/>
          <w14:ligatures w14:val="none"/>
        </w:rPr>
      </w:r>
    </w:p>
    <w:p>
      <w:pPr>
        <w:ind w:firstLine="709"/>
        <w:jc w:val="both"/>
        <w:rPr>
          <w:rFonts w:ascii="Arial" w:hAnsi="Arial" w:cs="Arial"/>
          <w:b/>
          <w:bCs/>
          <w:color w:val="auto"/>
          <w:sz w:val="24"/>
          <w:szCs w:val="24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/>
          <w:bCs/>
          <w:color w:val="auto"/>
          <w:sz w:val="24"/>
          <w:szCs w:val="24"/>
        </w:rPr>
      </w:r>
      <w:r>
        <w:rPr>
          <w:rFonts w:ascii="Arial" w:hAnsi="Arial" w:cs="Arial"/>
          <w:b/>
          <w:bCs/>
          <w:color w:val="auto"/>
          <w:sz w:val="24"/>
          <w:szCs w:val="24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Срок: </w:t>
      </w:r>
      <w:r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не позднее срока раскрытия информации о доработанном</w:t>
      </w:r>
      <w:r>
        <w:rPr>
          <w:rFonts w:ascii="Arial" w:hAnsi="Arial" w:eastAsia="Arial" w:cs="Arial"/>
          <w:color w:val="auto"/>
          <w:sz w:val="24"/>
          <w:szCs w:val="24"/>
        </w:rPr>
        <w:t xml:space="preserve"> Проекте изменений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ИПР АО «Ч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СК»</w:t>
      </w:r>
      <w:r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, предусмотренного пунктом 42 Правил.</w:t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color w:val="ff0000"/>
          <w:sz w:val="24"/>
          <w:szCs w:val="24"/>
          <w14:ligatures w14:val="none"/>
        </w:rPr>
      </w:pPr>
      <w:r>
        <w:rPr>
          <w:rFonts w:ascii="Arial" w:hAnsi="Arial" w:eastAsia="Arial" w:cs="Arial"/>
          <w:color w:val="ff0000"/>
          <w:sz w:val="24"/>
          <w:szCs w:val="24"/>
        </w:rPr>
      </w:r>
      <w:r>
        <w:rPr>
          <w:rFonts w:ascii="Arial" w:hAnsi="Arial" w:cs="Arial"/>
          <w:color w:val="ff0000"/>
          <w:sz w:val="24"/>
          <w:szCs w:val="24"/>
          <w14:ligatures w14:val="none"/>
        </w:rPr>
      </w:r>
      <w:r>
        <w:rPr>
          <w:rFonts w:ascii="Arial" w:hAnsi="Arial" w:cs="Arial"/>
          <w:color w:val="ff0000"/>
          <w:sz w:val="24"/>
          <w:szCs w:val="24"/>
          <w14:ligatures w14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u w:val="none"/>
        </w:rPr>
        <w:outlineLvl w:val="0"/>
      </w:pP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3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принятии решений в отноше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р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азногласий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по проекту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u w:val="none"/>
        </w:rPr>
      </w:r>
      <w:r>
        <w:rPr>
          <w:rFonts w:ascii="Arial" w:hAnsi="Arial" w:cs="Arial"/>
          <w:b/>
          <w:bCs/>
          <w:color w:val="000000" w:themeColor="text1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u w:val="none"/>
        </w:rPr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14:ligatures w14:val="none"/>
        </w:rPr>
        <w:t xml:space="preserve">ИПР ООО «РЭС-Энерго»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указанных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в заключении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Госслужбы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направленном </w:t>
      </w:r>
      <w:r>
        <w:rPr>
          <w:rFonts w:ascii="Arial" w:hAnsi="Arial" w:cs="Arial"/>
          <w:b/>
          <w:bCs/>
          <w:color w:val="000000" w:themeColor="text1"/>
          <w:u w:val="none"/>
        </w:rPr>
      </w:r>
      <w:r>
        <w:rPr>
          <w:rFonts w:ascii="Arial" w:hAnsi="Arial" w:cs="Arial"/>
          <w:b/>
          <w:bCs/>
          <w:color w:val="000000" w:themeColor="text1"/>
          <w:u w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u w:val="non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ООО «РЭС-Энерго» письмом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от 18 июля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202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4 г.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№ 02/12-2-2033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(далее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в настоящем пункте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– заключение Госслужбы):</w:t>
      </w:r>
      <w:r>
        <w:rPr>
          <w:rFonts w:ascii="Arial" w:hAnsi="Arial" w:cs="Arial"/>
          <w:b/>
          <w:bCs/>
          <w:color w:val="000000" w:themeColor="text1"/>
          <w:u w:val="none"/>
        </w:rPr>
      </w:r>
      <w:r>
        <w:rPr>
          <w:rFonts w:ascii="Arial" w:hAnsi="Arial" w:cs="Arial"/>
          <w:b/>
          <w:bCs/>
          <w:color w:val="000000" w:themeColor="text1"/>
          <w:u w:val="none"/>
        </w:rPr>
      </w:r>
    </w:p>
    <w:p>
      <w:pPr>
        <w:jc w:val="center"/>
        <w:spacing w:before="34" w:beforeAutospacing="0"/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-56304</wp:posOffset>
                </wp:positionH>
                <wp:positionV relativeFrom="paragraph">
                  <wp:posOffset>18544</wp:posOffset>
                </wp:positionV>
                <wp:extent cx="6125115" cy="0"/>
                <wp:effectExtent l="0" t="0" r="0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1" flipV="0">
                          <a:off x="0" y="0"/>
                          <a:ext cx="6125113" cy="0"/>
                        </a:xfrm>
                        <a:prstGeom prst="line">
                          <a:avLst/>
                        </a:prstGeom>
                        <a:ln w="6349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3072;mso-wrap-distance-left:9.07pt;mso-wrap-distance-top:0.00pt;mso-wrap-distance-right:9.07pt;mso-wrap-distance-bottom:0.00pt;rotation:0;flip:x;visibility:visible;" from="-4.4pt,1.5pt" to="477.9pt,1.5pt" filled="f" strokecolor="#000000" strokeweight="0.50pt">
                <v:stroke dashstyle="solid"/>
              </v:line>
            </w:pict>
          </mc:Fallback>
        </mc:AlternateConten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(Лекарев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С.Н.,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Павлова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Н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.М.,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Можаева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И.Г.,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Егоров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С.Ф.,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Влади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мирова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А.В.,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Василенко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Д.В.,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Климов С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.И., Ильина Л.Н.)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eastAsia="Arial" w:cs="Arial"/>
          <w:b w:val="0"/>
          <w:bCs w:val="0"/>
          <w:highlight w:val="none"/>
          <w:u w:val="none"/>
        </w:rPr>
      </w:pPr>
      <w:r>
        <w:rPr>
          <w:rFonts w:ascii="Arial" w:hAnsi="Arial" w:eastAsia="Arial" w:cs="Arial"/>
          <w:b w:val="0"/>
          <w:bCs w:val="0"/>
          <w:color w:val="f75611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t xml:space="preserve">3.1. </w:t>
      </w:r>
      <w:r>
        <w:rPr>
          <w:rFonts w:ascii="Arial" w:hAnsi="Arial" w:cs="Arial"/>
          <w:sz w:val="24"/>
          <w:szCs w:val="24"/>
          <w:u w:val="none"/>
        </w:rPr>
        <w:t xml:space="preserve">В целях </w:t>
      </w:r>
      <w:r>
        <w:rPr>
          <w:rFonts w:ascii="Arial" w:hAnsi="Arial" w:cs="Arial"/>
          <w:sz w:val="24"/>
          <w:szCs w:val="24"/>
          <w:u w:val="none"/>
        </w:rPr>
        <w:t xml:space="preserve">урегулирования разногласий </w:t>
      </w:r>
      <w:r>
        <w:rPr>
          <w:rFonts w:ascii="Arial" w:hAnsi="Arial" w:eastAsia="Arial" w:cs="Arial"/>
          <w:sz w:val="24"/>
          <w:szCs w:val="24"/>
          <w:u w:val="none"/>
        </w:rPr>
        <w:t xml:space="preserve">по проекту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</w:t>
      </w:r>
      <w:r>
        <w:rPr>
          <w:rFonts w:ascii="Arial" w:hAnsi="Arial" w:cs="Arial"/>
          <w:sz w:val="24"/>
          <w:szCs w:val="24"/>
          <w:u w:val="none"/>
        </w:rPr>
        <w:t xml:space="preserve">,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указанных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 заключении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Госслужбы,</w:t>
      </w:r>
      <w:r>
        <w:rPr>
          <w:rFonts w:ascii="Arial" w:hAnsi="Arial" w:eastAsia="Arial" w:cs="Arial"/>
          <w:b w:val="0"/>
          <w:bCs w:val="0"/>
          <w:highlight w:val="none"/>
          <w:u w:val="none"/>
        </w:rPr>
      </w:r>
      <w:r>
        <w:rPr>
          <w:rFonts w:ascii="Arial" w:hAnsi="Arial" w:eastAsia="Arial" w:cs="Arial"/>
          <w:b w:val="0"/>
          <w:bCs w:val="0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b/>
          <w:bCs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  <w:highlight w:val="none"/>
        </w:rPr>
      </w:r>
      <w:r>
        <w:rPr>
          <w:rFonts w:ascii="Arial" w:hAnsi="Arial" w:cs="Arial"/>
          <w:b/>
          <w:bCs/>
          <w:color w:val="auto"/>
          <w:sz w:val="24"/>
          <w:szCs w:val="24"/>
          <w:highlight w:val="none"/>
        </w:rPr>
      </w:r>
      <w:r>
        <w:rPr>
          <w:rFonts w:ascii="Arial" w:hAnsi="Arial" w:cs="Arial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/>
          <w:bCs/>
          <w:color w:val="auto"/>
          <w:highlight w:val="none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РЕШИЛИ:</w:t>
      </w:r>
      <w:r>
        <w:rPr>
          <w:rFonts w:ascii="Arial" w:hAnsi="Arial" w:cs="Arial"/>
          <w:b/>
          <w:bCs/>
          <w:color w:val="auto"/>
          <w:highlight w:val="none"/>
        </w:rPr>
      </w:r>
      <w:r>
        <w:rPr>
          <w:rFonts w:ascii="Arial" w:hAnsi="Arial" w:cs="Arial"/>
          <w:b/>
          <w:bCs/>
          <w:color w:val="auto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sz w:val="24"/>
          <w:szCs w:val="24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</w:rPr>
      </w:r>
      <w:r>
        <w:rPr>
          <w:rFonts w:ascii="Arial" w:hAnsi="Arial" w:cs="Arial"/>
          <w:sz w:val="24"/>
          <w:szCs w:val="24"/>
          <w:u w:val="none"/>
          <w14:ligatures w14:val="none"/>
        </w:rPr>
      </w:r>
      <w:r>
        <w:rPr>
          <w:rFonts w:ascii="Arial" w:hAnsi="Arial" w:cs="Arial"/>
          <w:sz w:val="24"/>
          <w:szCs w:val="24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u w:val="none"/>
        </w:rPr>
      </w:r>
      <w:r>
        <w:rPr>
          <w:rFonts w:ascii="Arial" w:hAnsi="Arial" w:cs="Arial"/>
          <w:sz w:val="24"/>
          <w:szCs w:val="24"/>
          <w:u w:val="none"/>
        </w:rPr>
        <w:t xml:space="preserve">3.1.1.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 п</w:t>
      </w:r>
      <w:r>
        <w:rPr>
          <w:rFonts w:ascii="Arial" w:hAnsi="Arial" w:cs="Arial"/>
          <w:sz w:val="24"/>
          <w:szCs w:val="24"/>
          <w:u w:val="none"/>
        </w:rPr>
        <w:t xml:space="preserve">редусмотреть </w:t>
      </w:r>
      <w:r>
        <w:rPr>
          <w:rFonts w:ascii="Arial" w:hAnsi="Arial" w:cs="Arial"/>
          <w:sz w:val="24"/>
          <w:szCs w:val="24"/>
          <w:u w:val="none"/>
        </w:rPr>
        <w:t xml:space="preserve">источником финансирования инвестиционной программы</w:t>
      </w:r>
      <w:r>
        <w:rPr>
          <w:rFonts w:ascii="Arial" w:hAnsi="Arial" w:cs="Arial"/>
          <w:sz w:val="24"/>
          <w:szCs w:val="24"/>
          <w:u w:val="none"/>
        </w:rPr>
        <w:t xml:space="preserve"> – текущую амортизацию основных средств,</w:t>
      </w:r>
      <w:r>
        <w:rPr>
          <w:rFonts w:ascii="Arial" w:hAnsi="Arial" w:cs="Arial"/>
          <w:b/>
          <w:bCs/>
          <w:sz w:val="24"/>
          <w:szCs w:val="24"/>
          <w:highlight w:val="none"/>
        </w:rPr>
        <w:t xml:space="preserve"> </w:t>
      </w:r>
      <w:r>
        <w:rPr>
          <w:rFonts w:ascii="Arial" w:hAnsi="Arial" w:cs="Arial"/>
          <w:sz w:val="24"/>
          <w:szCs w:val="24"/>
          <w:u w:val="none"/>
        </w:rPr>
        <w:t xml:space="preserve">учитываемую в тарифе на услуги по передаче электрической энергии, </w:t>
      </w:r>
      <w:r>
        <w:rPr>
          <w:rFonts w:ascii="Arial" w:hAnsi="Arial" w:cs="Arial"/>
          <w:b/>
          <w:bCs/>
          <w:sz w:val="24"/>
          <w:szCs w:val="24"/>
          <w:highlight w:val="none"/>
        </w:rPr>
        <w:br/>
      </w:r>
      <w:r>
        <w:rPr>
          <w:rFonts w:ascii="Arial" w:hAnsi="Arial" w:cs="Arial"/>
          <w:sz w:val="24"/>
          <w:szCs w:val="24"/>
          <w:u w:val="none"/>
        </w:rPr>
        <w:t xml:space="preserve">в каждом из годов периода реализации инвестиционной программы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  <w:r>
        <w:rPr>
          <w:rFonts w:ascii="Arial" w:hAnsi="Arial" w:cs="Arial"/>
          <w:sz w:val="24"/>
          <w:szCs w:val="24"/>
          <w:u w:val="none"/>
        </w:rPr>
        <w:t xml:space="preserve">на уровне не превышающем 12438,57 тыс.руб., рассчитанном Госслужбой, исходя из представленных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</w:t>
      </w:r>
      <w:r>
        <w:rPr>
          <w:rFonts w:ascii="Arial" w:hAnsi="Arial" w:cs="Arial"/>
          <w:sz w:val="24"/>
          <w:szCs w:val="24"/>
          <w:u w:val="none"/>
        </w:rPr>
        <w:t xml:space="preserve"> материалов. 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170" w:beforeAutospacing="0" w:line="264" w:lineRule="auto"/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</w:rPr>
        <w:t xml:space="preserve">3.1.2. Указать в</w:t>
      </w:r>
      <w:r>
        <w:rPr>
          <w:rFonts w:ascii="Arial" w:hAnsi="Arial" w:cs="Arial"/>
          <w:sz w:val="24"/>
          <w:szCs w:val="24"/>
          <w:u w:val="none"/>
        </w:rPr>
        <w:t xml:space="preserve"> инвентарных карточках </w:t>
      </w:r>
      <w:r>
        <w:rPr>
          <w:rFonts w:ascii="Arial" w:hAnsi="Arial" w:cs="Arial"/>
          <w:sz w:val="24"/>
          <w:szCs w:val="24"/>
          <w:u w:val="none"/>
        </w:rPr>
        <w:t xml:space="preserve">учета объектов основных средств (унифицированная форма № ОС-6) (далее – инвентарные карточки)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  <w:r>
        <w:rPr>
          <w:rFonts w:ascii="Arial" w:hAnsi="Arial" w:cs="Arial"/>
          <w:sz w:val="24"/>
          <w:szCs w:val="24"/>
          <w:u w:val="none"/>
        </w:rPr>
        <w:t xml:space="preserve">сведения, указанные </w:t>
      </w:r>
      <w:r>
        <w:rPr>
          <w:rFonts w:ascii="Arial" w:hAnsi="Arial" w:cs="Arial"/>
          <w:sz w:val="24"/>
          <w:szCs w:val="24"/>
          <w:u w:val="none"/>
        </w:rPr>
        <w:t xml:space="preserve">в абзаце тринадцатом пункта 1 заключения </w:t>
      </w:r>
      <w:r>
        <w:rPr>
          <w:rFonts w:ascii="Arial" w:hAnsi="Arial" w:cs="Arial"/>
          <w:sz w:val="24"/>
          <w:szCs w:val="24"/>
          <w:u w:val="none"/>
        </w:rPr>
        <w:t xml:space="preserve"> Госслужбы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</w:rPr>
        <w:t xml:space="preserve">.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170" w:beforeAutospacing="0" w:line="264" w:lineRule="auto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</w:rPr>
        <w:t xml:space="preserve">3.1.3. Представить в Госслужбу: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</w:rPr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форму 19 «Финансовый план субъекта электроэнергетики</w:t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» доработанного 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eastAsia="Arial" w:cs="Arial"/>
          <w:sz w:val="24"/>
          <w:szCs w:val="24"/>
          <w:u w:val="none"/>
        </w:rPr>
        <w:t xml:space="preserve">проекта 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</w:t>
      </w:r>
      <w:r/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t xml:space="preserve">;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u w:val="none"/>
        </w:rPr>
        <w:t xml:space="preserve">форму </w:t>
      </w:r>
      <w:r>
        <w:rPr>
          <w:rFonts w:ascii="Arial" w:hAnsi="Arial" w:cs="Arial"/>
          <w:sz w:val="24"/>
          <w:szCs w:val="24"/>
          <w:u w:val="none"/>
        </w:rPr>
        <w:t xml:space="preserve">4 «План ввода основных средств» </w:t>
      </w:r>
      <w:r>
        <w:rPr>
          <w:rFonts w:ascii="Arial" w:hAnsi="Arial" w:eastAsia="Arial" w:cs="Arial"/>
          <w:sz w:val="24"/>
          <w:szCs w:val="24"/>
          <w:u w:val="none"/>
        </w:rPr>
        <w:t xml:space="preserve">доработанного проекта 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</w:t>
        <w:br/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</w:t>
      </w:r>
      <w:r>
        <w:rPr>
          <w:rFonts w:ascii="Arial" w:hAnsi="Arial" w:cs="Arial"/>
          <w:sz w:val="24"/>
          <w:szCs w:val="24"/>
          <w:u w:val="none"/>
        </w:rPr>
        <w:t xml:space="preserve">;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u w:val="none"/>
        </w:rPr>
      </w:r>
      <w:r>
        <w:rPr>
          <w:rFonts w:ascii="Arial" w:hAnsi="Arial" w:cs="Arial"/>
          <w:sz w:val="24"/>
          <w:szCs w:val="24"/>
          <w:u w:val="none"/>
        </w:rPr>
        <w:t xml:space="preserve">инвентарные карточки</w:t>
      </w:r>
      <w:r>
        <w:rPr>
          <w:rFonts w:ascii="Arial" w:hAnsi="Arial" w:cs="Arial"/>
          <w:sz w:val="24"/>
          <w:szCs w:val="24"/>
          <w:u w:val="none"/>
        </w:rPr>
        <w:t xml:space="preserve"> со сведениями</w:t>
      </w:r>
      <w:r>
        <w:rPr>
          <w:rFonts w:ascii="Arial" w:hAnsi="Arial" w:cs="Arial"/>
          <w:sz w:val="24"/>
          <w:szCs w:val="24"/>
          <w:u w:val="none"/>
        </w:rPr>
        <w:t xml:space="preserve">, указанными </w:t>
      </w:r>
      <w:r>
        <w:rPr>
          <w:rFonts w:ascii="Arial" w:hAnsi="Arial" w:cs="Arial"/>
          <w:sz w:val="24"/>
          <w:szCs w:val="24"/>
          <w:u w:val="none"/>
        </w:rPr>
        <w:t xml:space="preserve">в абзаце тринадцатом пункта 1 заключения </w:t>
      </w:r>
      <w:r>
        <w:rPr>
          <w:rFonts w:ascii="Arial" w:hAnsi="Arial" w:cs="Arial"/>
          <w:sz w:val="24"/>
          <w:szCs w:val="24"/>
          <w:u w:val="none"/>
        </w:rPr>
        <w:t xml:space="preserve"> Госслужбы</w:t>
      </w:r>
      <w:r>
        <w:rPr>
          <w:rFonts w:ascii="Arial" w:hAnsi="Arial" w:cs="Arial"/>
          <w:sz w:val="24"/>
          <w:szCs w:val="24"/>
          <w:u w:val="none"/>
        </w:rPr>
        <w:t xml:space="preserve">;</w:t>
      </w:r>
      <w:r>
        <w:rPr>
          <w:rFonts w:ascii="Arial" w:hAnsi="Arial" w:cs="Arial"/>
          <w:sz w:val="24"/>
          <w:szCs w:val="24"/>
          <w:u w:val="none"/>
          <w14:ligatures w14:val="none"/>
        </w:rPr>
      </w:r>
      <w:r>
        <w:rPr>
          <w:rFonts w:ascii="Arial" w:hAnsi="Arial" w:cs="Arial"/>
          <w:sz w:val="24"/>
          <w:szCs w:val="24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u w:val="none"/>
        </w:rPr>
        <w:t xml:space="preserve">представить </w:t>
      </w:r>
      <w:r>
        <w:rPr>
          <w:rFonts w:ascii="Arial" w:hAnsi="Arial" w:cs="Arial"/>
          <w:sz w:val="24"/>
          <w:szCs w:val="24"/>
          <w:u w:val="none"/>
        </w:rPr>
        <w:t xml:space="preserve">в обоснование стоимости инвестиционных проектов (</w:t>
      </w:r>
      <w:r>
        <w:rPr>
          <w:rFonts w:ascii="Arial" w:hAnsi="Arial" w:cs="Arial"/>
          <w:sz w:val="24"/>
          <w:szCs w:val="24"/>
          <w:u w:val="none"/>
        </w:rPr>
        <w:t xml:space="preserve">в числе подтверждающих материалов к </w:t>
      </w:r>
      <w:r>
        <w:rPr>
          <w:rFonts w:ascii="Arial" w:hAnsi="Arial" w:cs="Arial"/>
          <w:sz w:val="24"/>
          <w:szCs w:val="24"/>
          <w:u w:val="none"/>
        </w:rPr>
        <w:t xml:space="preserve">проекту </w:t>
      </w:r>
      <w:r>
        <w:rPr>
          <w:rFonts w:ascii="Arial" w:hAnsi="Arial" w:eastAsia="Arial" w:cs="Arial"/>
          <w:sz w:val="24"/>
          <w:szCs w:val="24"/>
          <w:u w:val="none"/>
        </w:rPr>
        <w:t xml:space="preserve">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Энерго»)</w:t>
      </w:r>
      <w:r>
        <w:rPr>
          <w:rFonts w:ascii="Arial" w:hAnsi="Arial" w:cs="Arial"/>
          <w:sz w:val="24"/>
          <w:szCs w:val="24"/>
          <w:u w:val="none"/>
        </w:rPr>
        <w:t xml:space="preserve"> актуальные коммерческие предложения (не менее трех)</w:t>
      </w:r>
      <w:r>
        <w:rPr>
          <w:rFonts w:ascii="Arial" w:hAnsi="Arial" w:cs="Arial"/>
          <w:sz w:val="24"/>
          <w:szCs w:val="24"/>
          <w:u w:val="none"/>
        </w:rPr>
        <w:t xml:space="preserve">;</w:t>
      </w:r>
      <w:r>
        <w:rPr>
          <w:rFonts w:ascii="Arial" w:hAnsi="Arial" w:cs="Arial"/>
          <w:sz w:val="24"/>
          <w:szCs w:val="24"/>
          <w:u w:val="none"/>
          <w14:ligatures w14:val="none"/>
        </w:rPr>
      </w:r>
      <w:r>
        <w:rPr>
          <w:rFonts w:ascii="Arial" w:hAnsi="Arial" w:cs="Arial"/>
          <w:sz w:val="24"/>
          <w:szCs w:val="24"/>
          <w:u w:val="none"/>
          <w14:ligatures w14:val="none"/>
        </w:rPr>
      </w:r>
    </w:p>
    <w:p>
      <w:pPr>
        <w:ind w:left="0" w:right="0" w:firstLine="709"/>
        <w:jc w:val="both"/>
        <w:spacing w:before="34" w:beforeAutospacing="0" w:line="264" w:lineRule="auto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u w:val="none"/>
        </w:rPr>
        <w:t xml:space="preserve">информацию по обоснованию мероприятий по замене приборов учета электрической энергии физическим лицам, предлагаемых к учету в проекте </w:t>
      </w:r>
      <w:r>
        <w:rPr>
          <w:rFonts w:ascii="Arial" w:hAnsi="Arial" w:eastAsia="Arial" w:cs="Arial"/>
          <w:sz w:val="24"/>
          <w:szCs w:val="24"/>
          <w:u w:val="none"/>
        </w:rPr>
        <w:t xml:space="preserve">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</w:t>
      </w:r>
      <w:r>
        <w:rPr>
          <w:rFonts w:ascii="Arial" w:hAnsi="Arial" w:cs="Arial"/>
          <w:sz w:val="24"/>
          <w:szCs w:val="24"/>
          <w:u w:val="none"/>
        </w:rPr>
        <w:t xml:space="preserve">.</w:t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709"/>
        <w:jc w:val="both"/>
        <w:spacing w:before="170" w:beforeAutospacing="0" w:line="264" w:lineRule="auto"/>
        <w:rPr>
          <w:rFonts w:ascii="Arial" w:hAnsi="Arial" w:cs="Arial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</w:rPr>
        <w:t xml:space="preserve">3.1.4.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</w:t>
      </w:r>
      <w:r>
        <w:rPr>
          <w:rFonts w:ascii="Arial" w:hAnsi="Arial" w:cs="Arial"/>
          <w:sz w:val="24"/>
          <w:szCs w:val="24"/>
          <w:u w:val="none"/>
        </w:rPr>
        <w:t xml:space="preserve">Энерго»</w:t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 сведения, указанные в подпунктах 3.1.1-3.1.3, представить в</w:t>
      </w:r>
      <w:r>
        <w:rPr>
          <w:rFonts w:ascii="Arial" w:hAnsi="Arial" w:cs="Arial"/>
          <w:sz w:val="24"/>
          <w:szCs w:val="24"/>
          <w:u w:val="none"/>
        </w:rPr>
        <w:t xml:space="preserve"> Госслужбу</w:t>
      </w:r>
      <w:r>
        <w:rPr>
          <w:rFonts w:ascii="Arial" w:hAnsi="Arial" w:cs="Arial"/>
          <w:sz w:val="24"/>
          <w:szCs w:val="24"/>
          <w:u w:val="none"/>
        </w:rPr>
        <w:t xml:space="preserve"> в форме архивного файла, содержащего вышеуказанные </w:t>
      </w:r>
      <w:r>
        <w:rPr>
          <w:rFonts w:ascii="Arial" w:hAnsi="Arial" w:cs="Arial"/>
          <w:sz w:val="24"/>
          <w:szCs w:val="24"/>
          <w:u w:val="none"/>
        </w:rPr>
        <w:t xml:space="preserve">электронные документы, </w:t>
      </w:r>
      <w:r>
        <w:rPr>
          <w:rFonts w:ascii="Arial" w:hAnsi="Arial" w:cs="Arial"/>
          <w:sz w:val="24"/>
          <w:szCs w:val="24"/>
          <w:u w:val="none"/>
        </w:rPr>
        <w:t xml:space="preserve">подписанного с использованием усиленной квалифицированной</w:t>
      </w:r>
      <w:hyperlink r:id="rId12" w:tooltip="https://internet.garant.ru/#/document/12184522/entry/21" w:history="1">
        <w:r>
          <w:rPr>
            <w:rFonts w:ascii="Arial" w:hAnsi="Arial" w:cs="Arial"/>
            <w:sz w:val="24"/>
            <w:szCs w:val="24"/>
            <w:u w:val="none"/>
          </w:rPr>
          <w:t xml:space="preserve"> электронной подписи</w:t>
        </w:r>
      </w:hyperlink>
      <w:r>
        <w:rPr>
          <w:rFonts w:ascii="Arial" w:hAnsi="Arial" w:cs="Arial"/>
          <w:sz w:val="24"/>
          <w:szCs w:val="24"/>
          <w:u w:val="none"/>
        </w:rPr>
        <w:t xml:space="preserve">.</w:t>
      </w:r>
      <w:r>
        <w:rPr>
          <w:rFonts w:ascii="Arial" w:hAnsi="Arial" w:cs="Arial"/>
          <w:highlight w:val="none"/>
          <w:u w:val="none"/>
          <w14:ligatures w14:val="none"/>
        </w:rPr>
      </w:r>
      <w:r>
        <w:rPr>
          <w:rFonts w:ascii="Arial" w:hAnsi="Arial" w:cs="Arial"/>
          <w:highlight w:val="none"/>
          <w:u w:val="none"/>
          <w14:ligatures w14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Срок: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не позднее 23 сентября 2024 года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sz w:val="24"/>
          <w:szCs w:val="24"/>
          <w:highlight w:val="none"/>
          <w:u w:val="none"/>
          <w14:ligatures w14:val="none"/>
        </w:rPr>
        <w:outlineLvl w:val="0"/>
      </w:pP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  <w:r>
        <w:rPr>
          <w:rFonts w:ascii="Arial" w:hAnsi="Arial" w:cs="Arial"/>
          <w:sz w:val="24"/>
          <w:szCs w:val="24"/>
          <w:highlight w:val="none"/>
          <w:u w:val="none"/>
          <w14:ligatures w14:val="none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000000" w:themeColor="text1"/>
          <w:u w:val="none"/>
        </w:rPr>
        <w:outlineLvl w:val="0"/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4.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принятии решений в отноше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р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азногласий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по проекту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u w:val="none"/>
        </w:rPr>
      </w:r>
      <w:r>
        <w:rPr>
          <w:rFonts w:ascii="Arial" w:hAnsi="Arial" w:cs="Arial"/>
          <w:b/>
          <w:bCs/>
          <w:color w:val="000000" w:themeColor="text1"/>
          <w:u w:val="none"/>
        </w:rPr>
      </w:r>
    </w:p>
    <w:p>
      <w:pPr>
        <w:ind w:left="0" w:right="0" w:firstLine="0"/>
        <w:jc w:val="center"/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  <w:r>
        <w:rPr>
          <w:color w:val="000000" w:themeColor="text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-142895</wp:posOffset>
                </wp:positionH>
                <wp:positionV relativeFrom="paragraph">
                  <wp:posOffset>498965</wp:posOffset>
                </wp:positionV>
                <wp:extent cx="6125115" cy="0"/>
                <wp:effectExtent l="3174" t="3174" r="3174" b="3174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0">
                          <a:off x="0" y="0"/>
                          <a:ext cx="6125113" cy="0"/>
                        </a:xfrm>
                        <a:prstGeom prst="line">
                          <a:avLst/>
                        </a:prstGeom>
                        <a:ln w="6349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4" o:spid="_x0000_s4" style="position:absolute;left:0;text-align:left;z-index:3072;mso-wrap-distance-left:9.07pt;mso-wrap-distance-top:0.00pt;mso-wrap-distance-right:9.07pt;mso-wrap-distance-bottom:0.00pt;flip:x;visibility:visible;" from="-11.3pt,39.3pt" to="471.0pt,39.3pt" filled="f" strokecolor="#000000" strokeweight="0.50pt">
                <v:stroke dashstyle="solid"/>
              </v:line>
            </w:pict>
          </mc:Fallback>
        </mc:AlternateContent>
      </w:r>
      <w:r>
        <w:rPr>
          <w:rFonts w:ascii="Arial" w:hAnsi="Arial" w:cs="Arial"/>
          <w:b/>
          <w:bCs/>
          <w:color w:val="000000" w:themeColor="text1"/>
          <w:sz w:val="24"/>
          <w:szCs w:val="24"/>
          <w14:ligatures w14:val="none"/>
        </w:rPr>
        <w:t xml:space="preserve">ИПР ООО «РЭС-Энерго»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указанных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в заключении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Минпромэнерго Чувашии,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направленном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14:ligatures w14:val="none"/>
        </w:rPr>
        <w:t xml:space="preserve">ООО «РЭС-Энерго»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пи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сь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мом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от 9 августа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02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4 г.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№ 05/09-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3045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(далее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в настоящем пункте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 – заключение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Минпромэнерго Чувашии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 xml:space="preserve">):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u w:val="none"/>
        </w:rPr>
      </w:r>
    </w:p>
    <w:p>
      <w:pPr>
        <w:jc w:val="center"/>
        <w:spacing w:before="34" w:beforeAutospacing="0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(Лекарев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С.Н.,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Павлова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Н.М.,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Можаева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И.Г.,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Василенко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Д.В., 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Ильина Л.Н.</w:t>
      </w:r>
      <w:r>
        <w:rPr>
          <w:rFonts w:ascii="Arial" w:hAnsi="Arial" w:cs="Arial"/>
          <w:b w:val="0"/>
          <w:bCs w:val="0"/>
          <w:sz w:val="24"/>
          <w:szCs w:val="24"/>
          <w:highlight w:val="none"/>
          <w:u w:val="none"/>
        </w:rPr>
        <w:t xml:space="preserve">)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left="0" w:right="0" w:firstLine="0"/>
        <w:jc w:val="center"/>
        <w:rPr>
          <w:rFonts w:ascii="Arial" w:hAnsi="Arial" w:cs="Arial"/>
          <w:b/>
          <w:bCs/>
          <w:color w:val="1809ed"/>
          <w:highlight w:val="none"/>
          <w:u w:val="none"/>
        </w:rPr>
      </w:pPr>
      <w:r>
        <w:rPr>
          <w:rFonts w:ascii="Arial" w:hAnsi="Arial" w:cs="Arial"/>
          <w:b/>
          <w:bCs/>
          <w:color w:val="1809ed"/>
          <w:sz w:val="24"/>
          <w:szCs w:val="24"/>
          <w:highlight w:val="none"/>
          <w:u w:val="none"/>
        </w:rPr>
      </w:r>
      <w:r>
        <w:rPr>
          <w:rFonts w:ascii="Arial" w:hAnsi="Arial" w:cs="Arial"/>
          <w:b/>
          <w:bCs/>
          <w:color w:val="1809ed"/>
          <w:highlight w:val="none"/>
          <w:u w:val="none"/>
        </w:rPr>
      </w:r>
      <w:r>
        <w:rPr>
          <w:rFonts w:ascii="Arial" w:hAnsi="Arial" w:cs="Arial"/>
          <w:b/>
          <w:bCs/>
          <w:color w:val="1809ed"/>
          <w:highlight w:val="none"/>
          <w:u w:val="none"/>
        </w:rPr>
      </w:r>
    </w:p>
    <w:p>
      <w:pPr>
        <w:ind w:left="0" w:right="0" w:firstLine="709"/>
        <w:jc w:val="both"/>
        <w:spacing w:before="34" w:beforeAutospacing="0"/>
        <w:rPr>
          <w:rFonts w:ascii="Arial" w:hAnsi="Arial" w:cs="Arial"/>
          <w:color w:val="auto"/>
          <w:highlight w:val="none"/>
          <w:u w:val="none"/>
        </w:rPr>
      </w:pPr>
      <w:r>
        <w:rPr>
          <w:rFonts w:ascii="Arial" w:hAnsi="Arial" w:cs="Arial"/>
          <w:color w:val="auto"/>
          <w:sz w:val="24"/>
          <w:szCs w:val="24"/>
          <w:u w:val="none"/>
        </w:rPr>
        <w:t xml:space="preserve">4.1. 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В целях 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урегулирования разногласий </w:t>
      </w:r>
      <w:r>
        <w:rPr>
          <w:rFonts w:ascii="Arial" w:hAnsi="Arial" w:eastAsia="Arial" w:cs="Arial"/>
          <w:sz w:val="24"/>
          <w:szCs w:val="24"/>
          <w:u w:val="none"/>
        </w:rPr>
        <w:t xml:space="preserve">по проекту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u w:val="none"/>
        </w:rPr>
        <w:t xml:space="preserve">,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 указанных </w:t>
      </w:r>
      <w:r>
        <w:rPr>
          <w:rFonts w:ascii="Arial" w:hAnsi="Arial" w:eastAsia="Arial" w:cs="Arial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в заключении</w:t>
      </w:r>
      <w:r>
        <w:rPr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Минпромэнерго Чувашии </w:t>
      </w:r>
      <w:r>
        <w:rPr>
          <w:rFonts w:ascii="Arial" w:hAnsi="Arial" w:eastAsia="Arial" w:cs="Arial"/>
          <w:b w:val="0"/>
          <w:bCs w:val="0"/>
          <w:color w:val="auto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cs="Arial"/>
          <w:color w:val="auto"/>
          <w:highlight w:val="none"/>
          <w:u w:val="none"/>
        </w:rPr>
      </w:r>
      <w:r>
        <w:rPr>
          <w:rFonts w:ascii="Arial" w:hAnsi="Arial" w:cs="Arial"/>
          <w:color w:val="auto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sz w:val="24"/>
          <w:szCs w:val="24"/>
          <w:highlight w:val="none"/>
          <w:u w:val="single"/>
        </w:rPr>
      </w:r>
      <w:r>
        <w:rPr>
          <w:rFonts w:ascii="Arial" w:hAnsi="Arial" w:cs="Arial"/>
          <w:color w:val="auto"/>
          <w:u w:val="single"/>
        </w:rPr>
      </w:r>
      <w:r>
        <w:rPr>
          <w:rFonts w:ascii="Arial" w:hAnsi="Arial" w:cs="Arial"/>
          <w:color w:val="auto"/>
          <w:u w:val="single"/>
        </w:rPr>
      </w:r>
    </w:p>
    <w:p>
      <w:pPr>
        <w:ind w:firstLine="709"/>
        <w:jc w:val="both"/>
        <w:rPr>
          <w:rFonts w:ascii="Arial" w:hAnsi="Arial" w:cs="Arial"/>
          <w:b/>
          <w:bCs/>
          <w:color w:val="auto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РЕШИЛИ:</w:t>
      </w:r>
      <w:r>
        <w:rPr>
          <w:rFonts w:ascii="Arial" w:hAnsi="Arial" w:cs="Arial"/>
          <w:b/>
          <w:bCs/>
          <w:color w:val="auto"/>
        </w:rPr>
      </w:r>
      <w:r>
        <w:rPr>
          <w:rFonts w:ascii="Arial" w:hAnsi="Arial" w:cs="Arial"/>
          <w:b/>
          <w:bCs/>
          <w:color w:val="auto"/>
        </w:rPr>
      </w:r>
    </w:p>
    <w:p>
      <w:pPr>
        <w:ind w:firstLine="709"/>
        <w:jc w:val="both"/>
        <w:rPr>
          <w:rFonts w:ascii="Arial" w:hAnsi="Arial" w:cs="Arial"/>
          <w:color w:val="auto"/>
          <w:u w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color w:val="auto"/>
          <w:u w:val="none"/>
        </w:rPr>
      </w:r>
      <w:r>
        <w:rPr>
          <w:rFonts w:ascii="Arial" w:hAnsi="Arial" w:cs="Arial"/>
          <w:color w:val="auto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highlight w:val="none"/>
          <w:u w:val="none"/>
        </w:rPr>
        <w:outlineLvl w:val="0"/>
      </w:pP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  <w:u w:val="none"/>
        </w:rPr>
        <w:t xml:space="preserve">4.1.1. Госслужбе Чувашии представить в Минпромэнерго  Чувашии письмо об исполнении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 решений, указанных в пункте 3.1 настоящего протокола, и отсутствии замечаний к материалам, направленным </w:t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в целях </w:t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исполнения решения, указанного </w:t>
      </w: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  <w:u w:val="none"/>
        </w:rPr>
        <w:t xml:space="preserve">в подпункте 3.1.4, п</w:t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  <w:t xml:space="preserve">риложив к вышеназванному письму </w:t>
      </w:r>
      <w:r>
        <w:rPr>
          <w:rFonts w:ascii="Arial" w:hAnsi="Arial" w:cs="Arial"/>
          <w:sz w:val="24"/>
          <w:szCs w:val="24"/>
          <w:u w:val="none"/>
        </w:rPr>
        <w:t xml:space="preserve">архивный файл электронных документов, указанный в подпункте  </w:t>
      </w:r>
      <w:r>
        <w:rPr>
          <w:rFonts w:ascii="Arial" w:hAnsi="Arial" w:cs="Arial"/>
          <w:sz w:val="24"/>
          <w:szCs w:val="24"/>
          <w:highlight w:val="none"/>
          <w:u w:val="none"/>
        </w:rPr>
        <w:t xml:space="preserve">3.1.4,</w:t>
      </w:r>
      <w:r>
        <w:rPr>
          <w:rFonts w:ascii="Arial" w:hAnsi="Arial" w:cs="Arial"/>
          <w:sz w:val="24"/>
          <w:szCs w:val="24"/>
          <w:u w:val="none"/>
        </w:rPr>
        <w:t xml:space="preserve"> направленный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 в Госслужбу. </w:t>
      </w:r>
      <w:r>
        <w:rPr>
          <w:rFonts w:ascii="Arial" w:hAnsi="Arial" w:cs="Arial"/>
          <w:color w:val="000000" w:themeColor="text1"/>
          <w:highlight w:val="none"/>
          <w:u w:val="none"/>
        </w:rPr>
      </w:r>
      <w:r>
        <w:rPr>
          <w:rFonts w:ascii="Arial" w:hAnsi="Arial" w:cs="Arial"/>
          <w:color w:val="000000" w:themeColor="text1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000000" w:themeColor="text1"/>
          <w:highlight w:val="none"/>
        </w:rPr>
        <w:outlineLvl w:val="0"/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Срок: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не позднее 30 сентября 2024 года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rFonts w:ascii="Arial" w:hAnsi="Arial" w:cs="Arial"/>
          <w:b w:val="0"/>
          <w:bCs w:val="0"/>
          <w:color w:val="000000" w:themeColor="text1"/>
          <w:highlight w:val="none"/>
        </w:rPr>
      </w:r>
      <w:r>
        <w:rPr>
          <w:rFonts w:ascii="Arial" w:hAnsi="Arial" w:cs="Arial"/>
          <w:b w:val="0"/>
          <w:bCs w:val="0"/>
          <w:color w:val="000000" w:themeColor="text1"/>
          <w:highlight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  <w:outlineLvl w:val="0"/>
      </w:pP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bCs/>
          <w:color w:val="000000" w:themeColor="text1"/>
          <w:sz w:val="24"/>
          <w:szCs w:val="24"/>
          <w:highlight w:val="none"/>
          <w:u w:val="none"/>
        </w:rPr>
        <w:t xml:space="preserve">4.1.2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п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ри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д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оработк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е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проекта ИПР ООО «Р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С-Энерго»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устранить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замечания,</w:t>
      </w:r>
      <w:r>
        <w:rPr>
          <w:rFonts w:ascii="Arial" w:hAnsi="Arial" w:cs="Arial"/>
          <w:color w:val="000000" w:themeColor="text1"/>
          <w:sz w:val="24"/>
          <w:szCs w:val="24"/>
          <w:u w:val="non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указанные в </w:t>
      </w:r>
      <w:r>
        <w:rPr>
          <w:rFonts w:ascii="Arial" w:hAnsi="Arial" w:cs="Arial"/>
          <w:bCs/>
          <w:color w:val="000000" w:themeColor="text1"/>
          <w:sz w:val="24"/>
          <w:szCs w:val="24"/>
          <w:u w:val="none"/>
        </w:rPr>
        <w:t xml:space="preserve">заключении </w:t>
      </w:r>
      <w:r>
        <w:rPr>
          <w:rFonts w:ascii="Arial" w:hAnsi="Arial" w:cs="Arial"/>
          <w:bCs/>
          <w:color w:val="auto"/>
          <w:sz w:val="24"/>
          <w:szCs w:val="24"/>
          <w:u w:val="none"/>
        </w:rPr>
        <w:t xml:space="preserve">Минпромэнерго Чувашии</w:t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  <w:t xml:space="preserve">.</w:t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  <w:u w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14:ligatures w14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Представить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Минпромэнерго Чувашии, согласно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подпункту «д»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пункта 4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постановления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2 июня 2023 г. №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923,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информацию о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доработанном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проекте ИПР ООО «Р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Э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С-Энерго»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и об обосновывающих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инвестиционную программу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материалах  для её раскрытия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пунктом 42 Правил. </w:t>
      </w:r>
      <w:r>
        <w:rPr>
          <w:rFonts w:ascii="Arial" w:hAnsi="Arial" w:cs="Arial"/>
          <w:color w:val="000000" w:themeColor="text1"/>
          <w:sz w:val="24"/>
          <w:szCs w:val="24"/>
          <w14:ligatures w14:val="none"/>
        </w:rPr>
      </w:r>
      <w:r>
        <w:rPr>
          <w:rFonts w:ascii="Arial" w:hAnsi="Arial" w:cs="Arial"/>
          <w:color w:val="000000" w:themeColor="text1"/>
          <w:sz w:val="24"/>
          <w:szCs w:val="24"/>
          <w14:ligatures w14:val="none"/>
        </w:rPr>
      </w:r>
    </w:p>
    <w:p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  <w14:ligatures w14:val="none"/>
        </w:rPr>
        <w:outlineLvl w:val="0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  <w14:ligatures w14:val="none"/>
        </w:rPr>
      </w:r>
      <w:r>
        <w:rPr>
          <w:rFonts w:ascii="Arial" w:hAnsi="Arial" w:cs="Arial"/>
          <w:color w:val="000000" w:themeColor="text1"/>
          <w:sz w:val="24"/>
          <w:szCs w:val="24"/>
          <w14:ligatures w14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highlight w:val="none"/>
        </w:rPr>
        <w:outlineLvl w:val="0"/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Срок: </w:t>
      </w:r>
      <w:r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не позднее 1 октября 2024 года.</w:t>
      </w:r>
      <w:r>
        <w:rPr>
          <w:rFonts w:ascii="Arial" w:hAnsi="Arial" w:cs="Arial"/>
          <w:b w:val="0"/>
          <w:bCs w:val="0"/>
          <w:color w:val="auto"/>
          <w:highlight w:val="none"/>
        </w:rPr>
      </w:r>
      <w:r>
        <w:rPr>
          <w:rFonts w:ascii="Arial" w:hAnsi="Arial" w:cs="Arial"/>
          <w:b w:val="0"/>
          <w:bCs w:val="0"/>
          <w:color w:val="auto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t xml:space="preserve">Министр </w:t>
      </w:r>
      <w:r>
        <w:rPr>
          <w:rFonts w:ascii="Arial" w:hAnsi="Arial" w:cs="Arial"/>
          <w:sz w:val="24"/>
          <w:szCs w:val="24"/>
        </w:rPr>
        <w:t xml:space="preserve">промышленности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 xml:space="preserve">энергетики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ind w:left="0" w:right="0" w:firstLine="0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t xml:space="preserve">Чувашской Республики</w:t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t xml:space="preserve">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С.Н. Лека</w:t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t xml:space="preserve">рев</w:t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  <w:t xml:space="preserve">Руководител</w:t>
      </w:r>
      <w:r>
        <w:rPr>
          <w:rFonts w:ascii="Arial" w:hAnsi="Arial" w:cs="Arial"/>
          <w:sz w:val="24"/>
          <w:szCs w:val="24"/>
        </w:rPr>
        <w:t xml:space="preserve">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Государственной службы </w: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</w:r>
    </w:p>
    <w:p>
      <w:pPr>
        <w:ind w:left="0" w:right="0" w:firstLine="0"/>
        <w:jc w:val="both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  <w:t xml:space="preserve">Чувашской Республики по конкурентной </w: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</w:r>
    </w:p>
    <w:p>
      <w:pPr>
        <w:ind w:left="0" w:right="0" w:firstLine="0"/>
        <w:jc w:val="both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  <w:t xml:space="preserve">политике и тарифам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С.Ф. Егоров </w: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</w:r>
    </w:p>
    <w:p>
      <w:pPr>
        <w:ind w:left="0" w:right="0" w:firstLine="0"/>
        <w:jc w:val="both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</w:r>
    </w:p>
    <w:p>
      <w:pPr>
        <w:ind w:left="0" w:right="0" w:firstLine="0"/>
        <w:jc w:val="both"/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  <w:outlineLvl w:val="0"/>
      </w:pP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center"/>
        <w:rPr>
          <w:rFonts w:ascii="Arial" w:hAnsi="Arial" w:cs="Arial"/>
          <w:b/>
          <w:bCs/>
          <w:highlight w:val="none"/>
        </w:rPr>
        <w:outlineLvl w:val="0"/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ind w:firstLine="709"/>
        <w:jc w:val="center"/>
        <w:rPr>
          <w:rFonts w:ascii="Arial" w:hAnsi="Arial" w:cs="Arial"/>
          <w:b/>
          <w:bCs/>
          <w:highlight w:val="none"/>
        </w:rPr>
        <w:outlineLvl w:val="0"/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566" w:bottom="1105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Mangal">
    <w:panose1 w:val="02040503050306020203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jc w:val="center"/>
      <w:rPr>
        <w:rStyle w:val="947"/>
      </w:rPr>
    </w:pPr>
    <w:r>
      <w:rPr>
        <w:rStyle w:val="947"/>
      </w:rPr>
      <w:fldChar w:fldCharType="begin"/>
    </w:r>
    <w:r>
      <w:rPr>
        <w:rStyle w:val="947"/>
      </w:rPr>
      <w:instrText xml:space="preserve"> PAGE </w:instrText>
    </w:r>
    <w:r>
      <w:rPr>
        <w:rStyle w:val="947"/>
      </w:rPr>
      <w:fldChar w:fldCharType="separate"/>
    </w:r>
    <w:r>
      <w:rPr>
        <w:rStyle w:val="947"/>
      </w:rPr>
      <w:t xml:space="preserve">2</w: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3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46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55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46" w:hanging="720"/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980" w:hanging="1260"/>
        <w:tabs>
          <w:tab w:val="num" w:pos="198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  <w:tabs>
          <w:tab w:val="num" w:pos="180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  <w:tabs>
          <w:tab w:val="num" w:pos="216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  <w:tabs>
          <w:tab w:val="num" w:pos="252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45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05" w:hanging="1305"/>
        <w:tabs>
          <w:tab w:val="num" w:pos="1305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025" w:hanging="1305"/>
        <w:tabs>
          <w:tab w:val="num" w:pos="2025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45" w:hanging="1305"/>
        <w:tabs>
          <w:tab w:val="num" w:pos="2745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65" w:hanging="1305"/>
        <w:tabs>
          <w:tab w:val="num" w:pos="3465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85" w:hanging="1305"/>
        <w:tabs>
          <w:tab w:val="num" w:pos="4185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 w:cs="Times New Roman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680" w:hanging="900"/>
        <w:tabs>
          <w:tab w:val="num" w:pos="168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0" w:hanging="360"/>
        <w:tabs>
          <w:tab w:val="num" w:pos="18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0" w:hanging="360"/>
        <w:tabs>
          <w:tab w:val="num" w:pos="25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0" w:hanging="360"/>
        <w:tabs>
          <w:tab w:val="num" w:pos="33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0" w:hanging="360"/>
        <w:tabs>
          <w:tab w:val="num" w:pos="40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0" w:hanging="360"/>
        <w:tabs>
          <w:tab w:val="num" w:pos="47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0" w:hanging="360"/>
        <w:tabs>
          <w:tab w:val="num" w:pos="54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0" w:hanging="360"/>
        <w:tabs>
          <w:tab w:val="num" w:pos="61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0" w:hanging="360"/>
        <w:tabs>
          <w:tab w:val="num" w:pos="690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17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648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8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  <w:color w:val="000000"/>
      </w:r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46" w:hanging="720"/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2"/>
  </w:num>
  <w:num w:numId="2">
    <w:abstractNumId w:val="35"/>
  </w:num>
  <w:num w:numId="3">
    <w:abstractNumId w:val="3"/>
  </w:num>
  <w:num w:numId="4">
    <w:abstractNumId w:val="21"/>
  </w:num>
  <w:num w:numId="5">
    <w:abstractNumId w:val="19"/>
  </w:num>
  <w:num w:numId="6">
    <w:abstractNumId w:val="31"/>
  </w:num>
  <w:num w:numId="7">
    <w:abstractNumId w:val="22"/>
  </w:num>
  <w:num w:numId="8">
    <w:abstractNumId w:val="17"/>
  </w:num>
  <w:num w:numId="9">
    <w:abstractNumId w:val="26"/>
  </w:num>
  <w:num w:numId="10">
    <w:abstractNumId w:val="0"/>
  </w:num>
  <w:num w:numId="11">
    <w:abstractNumId w:val="20"/>
  </w:num>
  <w:num w:numId="12">
    <w:abstractNumId w:val="5"/>
  </w:num>
  <w:num w:numId="13">
    <w:abstractNumId w:val="16"/>
  </w:num>
  <w:num w:numId="14">
    <w:abstractNumId w:val="12"/>
  </w:num>
  <w:num w:numId="15">
    <w:abstractNumId w:val="25"/>
  </w:num>
  <w:num w:numId="16">
    <w:abstractNumId w:val="11"/>
  </w:num>
  <w:num w:numId="17">
    <w:abstractNumId w:val="13"/>
  </w:num>
  <w:num w:numId="18">
    <w:abstractNumId w:val="37"/>
  </w:num>
  <w:num w:numId="19">
    <w:abstractNumId w:val="27"/>
  </w:num>
  <w:num w:numId="20">
    <w:abstractNumId w:val="18"/>
  </w:num>
  <w:num w:numId="21">
    <w:abstractNumId w:val="36"/>
  </w:num>
  <w:num w:numId="22">
    <w:abstractNumId w:val="24"/>
  </w:num>
  <w:num w:numId="23">
    <w:abstractNumId w:val="10"/>
  </w:num>
  <w:num w:numId="24">
    <w:abstractNumId w:val="4"/>
  </w:num>
  <w:num w:numId="25">
    <w:abstractNumId w:val="1"/>
  </w:num>
  <w:num w:numId="26">
    <w:abstractNumId w:val="30"/>
  </w:num>
  <w:num w:numId="27">
    <w:abstractNumId w:val="7"/>
  </w:num>
  <w:num w:numId="28">
    <w:abstractNumId w:val="14"/>
  </w:num>
  <w:num w:numId="29">
    <w:abstractNumId w:val="8"/>
  </w:num>
  <w:num w:numId="30">
    <w:abstractNumId w:val="32"/>
  </w:num>
  <w:num w:numId="31">
    <w:abstractNumId w:val="28"/>
  </w:num>
  <w:num w:numId="32">
    <w:abstractNumId w:val="23"/>
  </w:num>
  <w:num w:numId="33">
    <w:abstractNumId w:val="6"/>
  </w:num>
  <w:num w:numId="34">
    <w:abstractNumId w:val="34"/>
  </w:num>
  <w:num w:numId="35">
    <w:abstractNumId w:val="33"/>
  </w:num>
  <w:num w:numId="36">
    <w:abstractNumId w:val="9"/>
  </w:num>
  <w:num w:numId="37">
    <w:abstractNumId w:val="15"/>
  </w:num>
  <w:num w:numId="38">
    <w:abstractNumId w:val="29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Heading 1 Char"/>
    <w:basedOn w:val="925"/>
    <w:link w:val="922"/>
    <w:uiPriority w:val="9"/>
    <w:rPr>
      <w:rFonts w:ascii="Arial" w:hAnsi="Arial" w:eastAsia="Arial" w:cs="Arial"/>
      <w:sz w:val="40"/>
      <w:szCs w:val="40"/>
    </w:rPr>
  </w:style>
  <w:style w:type="character" w:styleId="755">
    <w:name w:val="Heading 2 Char"/>
    <w:basedOn w:val="925"/>
    <w:link w:val="923"/>
    <w:uiPriority w:val="9"/>
    <w:rPr>
      <w:rFonts w:ascii="Arial" w:hAnsi="Arial" w:eastAsia="Arial" w:cs="Arial"/>
      <w:sz w:val="34"/>
    </w:rPr>
  </w:style>
  <w:style w:type="character" w:styleId="756">
    <w:name w:val="Heading 3 Char"/>
    <w:basedOn w:val="925"/>
    <w:link w:val="924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21"/>
    <w:next w:val="921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5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21"/>
    <w:next w:val="921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basedOn w:val="925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21"/>
    <w:next w:val="921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basedOn w:val="925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21"/>
    <w:next w:val="921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basedOn w:val="925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21"/>
    <w:next w:val="92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5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21"/>
    <w:next w:val="921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5"/>
    <w:link w:val="767"/>
    <w:uiPriority w:val="9"/>
    <w:rPr>
      <w:rFonts w:ascii="Arial" w:hAnsi="Arial" w:eastAsia="Arial" w:cs="Arial"/>
      <w:i/>
      <w:iCs/>
      <w:sz w:val="21"/>
      <w:szCs w:val="21"/>
    </w:rPr>
  </w:style>
  <w:style w:type="character" w:styleId="769">
    <w:name w:val="Title Char"/>
    <w:basedOn w:val="925"/>
    <w:link w:val="948"/>
    <w:uiPriority w:val="10"/>
    <w:rPr>
      <w:sz w:val="48"/>
      <w:szCs w:val="48"/>
    </w:rPr>
  </w:style>
  <w:style w:type="character" w:styleId="770">
    <w:name w:val="Subtitle Char"/>
    <w:basedOn w:val="925"/>
    <w:link w:val="962"/>
    <w:uiPriority w:val="11"/>
    <w:rPr>
      <w:sz w:val="24"/>
      <w:szCs w:val="24"/>
    </w:rPr>
  </w:style>
  <w:style w:type="paragraph" w:styleId="771">
    <w:name w:val="Quote"/>
    <w:basedOn w:val="921"/>
    <w:next w:val="921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21"/>
    <w:next w:val="921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5"/>
    <w:link w:val="943"/>
    <w:uiPriority w:val="99"/>
  </w:style>
  <w:style w:type="character" w:styleId="776">
    <w:name w:val="Footer Char"/>
    <w:basedOn w:val="925"/>
    <w:link w:val="945"/>
    <w:uiPriority w:val="99"/>
  </w:style>
  <w:style w:type="paragraph" w:styleId="777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45"/>
    <w:uiPriority w:val="99"/>
  </w:style>
  <w:style w:type="table" w:styleId="779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basedOn w:val="925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5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rPr>
      <w:sz w:val="24"/>
      <w:szCs w:val="24"/>
    </w:rPr>
  </w:style>
  <w:style w:type="paragraph" w:styleId="922">
    <w:name w:val="Heading 1"/>
    <w:basedOn w:val="921"/>
    <w:next w:val="921"/>
    <w:link w:val="928"/>
    <w:uiPriority w:val="99"/>
    <w:qFormat/>
    <w:pPr>
      <w:jc w:val="right"/>
      <w:keepNext/>
      <w:outlineLvl w:val="0"/>
    </w:pPr>
    <w:rPr>
      <w:i/>
      <w:iCs/>
    </w:rPr>
  </w:style>
  <w:style w:type="paragraph" w:styleId="923">
    <w:name w:val="Heading 2"/>
    <w:basedOn w:val="921"/>
    <w:next w:val="921"/>
    <w:link w:val="929"/>
    <w:uiPriority w:val="99"/>
    <w:qFormat/>
    <w:pPr>
      <w:jc w:val="center"/>
      <w:keepNext/>
      <w:outlineLvl w:val="1"/>
    </w:pPr>
    <w:rPr>
      <w:b/>
      <w:bCs/>
      <w:sz w:val="26"/>
    </w:rPr>
  </w:style>
  <w:style w:type="paragraph" w:styleId="924">
    <w:name w:val="Heading 3"/>
    <w:basedOn w:val="921"/>
    <w:next w:val="921"/>
    <w:link w:val="930"/>
    <w:uiPriority w:val="99"/>
    <w:qFormat/>
    <w:pPr>
      <w:keepNext/>
      <w:outlineLvl w:val="2"/>
    </w:pPr>
    <w:rPr>
      <w:b/>
      <w:bCs/>
      <w:sz w:val="26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character" w:styleId="928" w:customStyle="1">
    <w:name w:val="Заголовок 1 Знак"/>
    <w:link w:val="922"/>
    <w:uiPriority w:val="99"/>
    <w:rPr>
      <w:rFonts w:ascii="Cambria" w:hAnsi="Cambria" w:cs="Times New Roman"/>
      <w:b/>
      <w:bCs/>
      <w:sz w:val="32"/>
      <w:szCs w:val="32"/>
    </w:rPr>
  </w:style>
  <w:style w:type="character" w:styleId="929" w:customStyle="1">
    <w:name w:val="Заголовок 2 Знак"/>
    <w:link w:val="923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styleId="930" w:customStyle="1">
    <w:name w:val="Заголовок 3 Знак"/>
    <w:link w:val="924"/>
    <w:uiPriority w:val="99"/>
    <w:rPr>
      <w:rFonts w:cs="Times New Roman"/>
      <w:b/>
      <w:bCs/>
      <w:sz w:val="24"/>
      <w:szCs w:val="24"/>
    </w:rPr>
  </w:style>
  <w:style w:type="paragraph" w:styleId="931">
    <w:name w:val="Balloon Text"/>
    <w:basedOn w:val="921"/>
    <w:link w:val="932"/>
    <w:uiPriority w:val="99"/>
    <w:semiHidden/>
    <w:rPr>
      <w:rFonts w:ascii="Tahoma" w:hAnsi="Tahoma" w:cs="Tahoma"/>
      <w:sz w:val="16"/>
      <w:szCs w:val="16"/>
    </w:rPr>
  </w:style>
  <w:style w:type="character" w:styleId="932" w:customStyle="1">
    <w:name w:val="Текст выноски Знак"/>
    <w:link w:val="931"/>
    <w:uiPriority w:val="99"/>
    <w:semiHidden/>
    <w:rPr>
      <w:rFonts w:cs="Times New Roman"/>
      <w:sz w:val="2"/>
    </w:rPr>
  </w:style>
  <w:style w:type="paragraph" w:styleId="933">
    <w:name w:val="Body Text Indent"/>
    <w:basedOn w:val="921"/>
    <w:link w:val="934"/>
    <w:uiPriority w:val="99"/>
    <w:pPr>
      <w:ind w:firstLine="720"/>
      <w:jc w:val="both"/>
    </w:pPr>
    <w:rPr>
      <w:sz w:val="26"/>
    </w:rPr>
  </w:style>
  <w:style w:type="character" w:styleId="934" w:customStyle="1">
    <w:name w:val="Основной текст с отступом Знак"/>
    <w:link w:val="933"/>
    <w:uiPriority w:val="99"/>
    <w:rPr>
      <w:rFonts w:cs="Times New Roman"/>
      <w:sz w:val="24"/>
      <w:szCs w:val="24"/>
    </w:rPr>
  </w:style>
  <w:style w:type="paragraph" w:styleId="935">
    <w:name w:val="Body Text Indent 2"/>
    <w:basedOn w:val="921"/>
    <w:link w:val="936"/>
    <w:uiPriority w:val="99"/>
    <w:pPr>
      <w:ind w:firstLine="720"/>
      <w:jc w:val="both"/>
    </w:pPr>
    <w:rPr>
      <w:i/>
      <w:iCs/>
      <w:sz w:val="26"/>
    </w:rPr>
  </w:style>
  <w:style w:type="character" w:styleId="936" w:customStyle="1">
    <w:name w:val="Основной текст с отступом 2 Знак"/>
    <w:link w:val="935"/>
    <w:uiPriority w:val="99"/>
    <w:semiHidden/>
    <w:rPr>
      <w:rFonts w:cs="Times New Roman"/>
      <w:sz w:val="24"/>
      <w:szCs w:val="24"/>
    </w:rPr>
  </w:style>
  <w:style w:type="paragraph" w:styleId="937" w:customStyle="1">
    <w:name w:val="ConsNormal"/>
    <w:uiPriority w:val="99"/>
    <w:pPr>
      <w:ind w:right="19772" w:firstLine="720"/>
    </w:pPr>
    <w:rPr>
      <w:rFonts w:ascii="Arial" w:hAnsi="Arial" w:cs="Arial"/>
    </w:rPr>
  </w:style>
  <w:style w:type="paragraph" w:styleId="938">
    <w:name w:val="Body Text Indent 3"/>
    <w:basedOn w:val="921"/>
    <w:link w:val="939"/>
    <w:uiPriority w:val="99"/>
    <w:pPr>
      <w:ind w:firstLine="720"/>
      <w:jc w:val="both"/>
    </w:pPr>
    <w:rPr>
      <w:i/>
      <w:iCs/>
    </w:rPr>
  </w:style>
  <w:style w:type="character" w:styleId="939" w:customStyle="1">
    <w:name w:val="Основной текст с отступом 3 Знак"/>
    <w:link w:val="938"/>
    <w:uiPriority w:val="99"/>
    <w:semiHidden/>
    <w:rPr>
      <w:rFonts w:cs="Times New Roman"/>
      <w:sz w:val="16"/>
      <w:szCs w:val="16"/>
    </w:rPr>
  </w:style>
  <w:style w:type="paragraph" w:styleId="940">
    <w:name w:val="Body Text"/>
    <w:basedOn w:val="921"/>
    <w:link w:val="941"/>
    <w:uiPriority w:val="99"/>
    <w:pPr>
      <w:jc w:val="both"/>
    </w:pPr>
    <w:rPr>
      <w:sz w:val="26"/>
    </w:rPr>
  </w:style>
  <w:style w:type="character" w:styleId="941" w:customStyle="1">
    <w:name w:val="Основной текст Знак"/>
    <w:link w:val="940"/>
    <w:uiPriority w:val="99"/>
    <w:semiHidden/>
    <w:rPr>
      <w:rFonts w:cs="Times New Roman"/>
      <w:sz w:val="24"/>
      <w:szCs w:val="24"/>
    </w:rPr>
  </w:style>
  <w:style w:type="paragraph" w:styleId="942" w:customStyle="1">
    <w:name w:val="ConsPlusNormal"/>
    <w:uiPriority w:val="99"/>
    <w:pPr>
      <w:ind w:firstLine="720"/>
    </w:pPr>
    <w:rPr>
      <w:rFonts w:ascii="Arial" w:hAnsi="Arial" w:cs="Arial"/>
    </w:rPr>
  </w:style>
  <w:style w:type="paragraph" w:styleId="943">
    <w:name w:val="Header"/>
    <w:basedOn w:val="921"/>
    <w:link w:val="944"/>
    <w:uiPriority w:val="99"/>
    <w:pPr>
      <w:tabs>
        <w:tab w:val="center" w:pos="4677" w:leader="none"/>
        <w:tab w:val="right" w:pos="9355" w:leader="none"/>
      </w:tabs>
    </w:pPr>
  </w:style>
  <w:style w:type="character" w:styleId="944" w:customStyle="1">
    <w:name w:val="Верхний колонтитул Знак"/>
    <w:link w:val="943"/>
    <w:uiPriority w:val="99"/>
    <w:semiHidden/>
    <w:rPr>
      <w:rFonts w:cs="Times New Roman"/>
      <w:sz w:val="24"/>
      <w:szCs w:val="24"/>
    </w:rPr>
  </w:style>
  <w:style w:type="paragraph" w:styleId="945">
    <w:name w:val="Footer"/>
    <w:basedOn w:val="921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link w:val="945"/>
    <w:uiPriority w:val="99"/>
    <w:semiHidden/>
    <w:rPr>
      <w:rFonts w:cs="Times New Roman"/>
      <w:sz w:val="24"/>
      <w:szCs w:val="24"/>
    </w:rPr>
  </w:style>
  <w:style w:type="character" w:styleId="947">
    <w:name w:val="page number"/>
    <w:uiPriority w:val="99"/>
    <w:rPr>
      <w:rFonts w:cs="Times New Roman"/>
    </w:rPr>
  </w:style>
  <w:style w:type="paragraph" w:styleId="948">
    <w:name w:val="Title"/>
    <w:basedOn w:val="921"/>
    <w:link w:val="949"/>
    <w:uiPriority w:val="99"/>
    <w:qFormat/>
    <w:pPr>
      <w:jc w:val="center"/>
    </w:pPr>
    <w:rPr>
      <w:b/>
      <w:bCs/>
      <w:sz w:val="26"/>
    </w:rPr>
  </w:style>
  <w:style w:type="character" w:styleId="949" w:customStyle="1">
    <w:name w:val="Название Знак"/>
    <w:link w:val="948"/>
    <w:uiPriority w:val="99"/>
    <w:rPr>
      <w:rFonts w:ascii="Cambria" w:hAnsi="Cambria" w:cs="Times New Roman"/>
      <w:b/>
      <w:bCs/>
      <w:sz w:val="32"/>
      <w:szCs w:val="32"/>
    </w:rPr>
  </w:style>
  <w:style w:type="paragraph" w:styleId="950">
    <w:name w:val="Body Text 3"/>
    <w:basedOn w:val="921"/>
    <w:link w:val="951"/>
    <w:uiPriority w:val="99"/>
    <w:pPr>
      <w:jc w:val="center"/>
    </w:pPr>
    <w:rPr>
      <w:sz w:val="26"/>
    </w:rPr>
  </w:style>
  <w:style w:type="character" w:styleId="951" w:customStyle="1">
    <w:name w:val="Основной текст 3 Знак"/>
    <w:link w:val="950"/>
    <w:uiPriority w:val="99"/>
    <w:semiHidden/>
    <w:rPr>
      <w:rFonts w:cs="Times New Roman"/>
      <w:sz w:val="16"/>
      <w:szCs w:val="16"/>
    </w:rPr>
  </w:style>
  <w:style w:type="paragraph" w:styleId="952">
    <w:name w:val="Body Text 2"/>
    <w:basedOn w:val="921"/>
    <w:link w:val="953"/>
    <w:uiPriority w:val="99"/>
    <w:pPr>
      <w:jc w:val="center"/>
    </w:pPr>
    <w:rPr>
      <w:b/>
      <w:bCs/>
      <w:sz w:val="26"/>
    </w:rPr>
  </w:style>
  <w:style w:type="character" w:styleId="953" w:customStyle="1">
    <w:name w:val="Основной текст 2 Знак"/>
    <w:link w:val="952"/>
    <w:uiPriority w:val="99"/>
    <w:rPr>
      <w:rFonts w:cs="Times New Roman"/>
      <w:sz w:val="24"/>
      <w:szCs w:val="24"/>
    </w:rPr>
  </w:style>
  <w:style w:type="paragraph" w:styleId="954" w:customStyle="1">
    <w:name w:val="Знак"/>
    <w:basedOn w:val="921"/>
    <w:uiPriority w:val="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55" w:customStyle="1">
    <w:name w:val="msonormalcxspmiddle"/>
    <w:basedOn w:val="921"/>
    <w:uiPriority w:val="99"/>
    <w:pPr>
      <w:spacing w:before="100" w:beforeAutospacing="1" w:after="100" w:afterAutospacing="1"/>
    </w:pPr>
  </w:style>
  <w:style w:type="character" w:styleId="956" w:customStyle="1">
    <w:name w:val="mw-headline2"/>
    <w:uiPriority w:val="99"/>
    <w:rPr>
      <w:rFonts w:cs="Times New Roman"/>
    </w:rPr>
  </w:style>
  <w:style w:type="paragraph" w:styleId="957" w:customStyle="1">
    <w:name w:val="rvps706640"/>
    <w:basedOn w:val="921"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character" w:styleId="958">
    <w:name w:val="Hyperlink"/>
    <w:uiPriority w:val="99"/>
    <w:rPr>
      <w:rFonts w:cs="Times New Roman"/>
      <w:color w:val="0000ff"/>
      <w:u w:val="single"/>
    </w:rPr>
  </w:style>
  <w:style w:type="paragraph" w:styleId="959">
    <w:name w:val="List Paragraph"/>
    <w:basedOn w:val="921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0">
    <w:name w:val="FollowedHyperlink"/>
    <w:uiPriority w:val="99"/>
    <w:rPr>
      <w:rFonts w:cs="Times New Roman"/>
      <w:color w:val="800080"/>
      <w:u w:val="single"/>
    </w:rPr>
  </w:style>
  <w:style w:type="paragraph" w:styleId="961" w:customStyle="1">
    <w:name w:val="Заголовок"/>
    <w:basedOn w:val="921"/>
    <w:next w:val="940"/>
    <w:uiPriority w:val="99"/>
    <w:pPr>
      <w:keepNext/>
      <w:spacing w:before="240" w:after="120"/>
      <w:widowControl w:val="off"/>
    </w:pPr>
    <w:rPr>
      <w:rFonts w:ascii="Arial" w:hAnsi="Arial" w:cs="Mangal"/>
      <w:sz w:val="28"/>
      <w:szCs w:val="28"/>
      <w:lang w:eastAsia="hi-IN" w:bidi="hi-IN"/>
    </w:rPr>
  </w:style>
  <w:style w:type="paragraph" w:styleId="962">
    <w:name w:val="Subtitle"/>
    <w:basedOn w:val="961"/>
    <w:next w:val="940"/>
    <w:link w:val="963"/>
    <w:uiPriority w:val="99"/>
    <w:qFormat/>
    <w:pPr>
      <w:jc w:val="center"/>
    </w:pPr>
    <w:rPr>
      <w:i/>
      <w:iCs/>
    </w:rPr>
  </w:style>
  <w:style w:type="character" w:styleId="963" w:customStyle="1">
    <w:name w:val="Подзаголовок Знак"/>
    <w:link w:val="962"/>
    <w:uiPriority w:val="99"/>
    <w:rPr>
      <w:rFonts w:ascii="Cambria" w:hAnsi="Cambria" w:cs="Times New Roman"/>
      <w:sz w:val="24"/>
      <w:szCs w:val="24"/>
    </w:rPr>
  </w:style>
  <w:style w:type="paragraph" w:styleId="964">
    <w:name w:val="List"/>
    <w:basedOn w:val="940"/>
    <w:uiPriority w:val="99"/>
    <w:pPr>
      <w:jc w:val="left"/>
      <w:spacing w:after="120"/>
      <w:widowControl w:val="off"/>
    </w:pPr>
    <w:rPr>
      <w:rFonts w:ascii="Arial" w:hAnsi="Arial" w:cs="Mangal"/>
      <w:sz w:val="20"/>
      <w:lang w:eastAsia="hi-IN" w:bidi="hi-IN"/>
    </w:rPr>
  </w:style>
  <w:style w:type="paragraph" w:styleId="965" w:customStyle="1">
    <w:name w:val="Название1"/>
    <w:basedOn w:val="921"/>
    <w:uiPriority w:val="99"/>
    <w:pPr>
      <w:spacing w:before="120" w:after="120"/>
      <w:widowControl w:val="off"/>
      <w:suppressLineNumbers/>
    </w:pPr>
    <w:rPr>
      <w:rFonts w:ascii="Arial" w:hAnsi="Arial" w:cs="Mangal"/>
      <w:i/>
      <w:iCs/>
      <w:sz w:val="20"/>
      <w:lang w:eastAsia="hi-IN" w:bidi="hi-IN"/>
    </w:rPr>
  </w:style>
  <w:style w:type="paragraph" w:styleId="966" w:customStyle="1">
    <w:name w:val="Указатель1"/>
    <w:basedOn w:val="921"/>
    <w:uiPriority w:val="99"/>
    <w:pPr>
      <w:widowControl w:val="off"/>
      <w:suppressLineNumbers/>
    </w:pPr>
    <w:rPr>
      <w:rFonts w:ascii="Arial" w:hAnsi="Arial" w:cs="Mangal"/>
      <w:sz w:val="20"/>
      <w:lang w:eastAsia="hi-IN" w:bidi="hi-IN"/>
    </w:rPr>
  </w:style>
  <w:style w:type="paragraph" w:styleId="967" w:customStyle="1">
    <w:name w:val="Содержимое таблицы"/>
    <w:basedOn w:val="921"/>
    <w:uiPriority w:val="99"/>
    <w:pPr>
      <w:widowControl w:val="off"/>
      <w:suppressLineNumbers/>
    </w:pPr>
    <w:rPr>
      <w:rFonts w:ascii="Arial" w:hAnsi="Arial" w:cs="Mangal"/>
      <w:sz w:val="20"/>
      <w:lang w:eastAsia="hi-IN" w:bidi="hi-IN"/>
    </w:rPr>
  </w:style>
  <w:style w:type="paragraph" w:styleId="968" w:customStyle="1">
    <w:name w:val="ConsPlusDocList"/>
    <w:next w:val="921"/>
    <w:uiPriority w:val="99"/>
    <w:pPr>
      <w:widowControl w:val="off"/>
    </w:pPr>
    <w:rPr>
      <w:rFonts w:ascii="Arial" w:hAnsi="Arial" w:cs="Arial"/>
      <w:lang w:eastAsia="hi-IN" w:bidi="hi-IN"/>
    </w:rPr>
  </w:style>
  <w:style w:type="paragraph" w:styleId="969" w:customStyle="1">
    <w:name w:val="ConsPlusCell"/>
    <w:next w:val="921"/>
    <w:uiPriority w:val="99"/>
    <w:pPr>
      <w:widowControl w:val="off"/>
    </w:pPr>
    <w:rPr>
      <w:rFonts w:ascii="Arial" w:hAnsi="Arial" w:cs="Arial"/>
      <w:lang w:eastAsia="hi-IN" w:bidi="hi-IN"/>
    </w:rPr>
  </w:style>
  <w:style w:type="paragraph" w:styleId="970" w:customStyle="1">
    <w:name w:val="ConsPlusNonformat"/>
    <w:next w:val="921"/>
    <w:uiPriority w:val="99"/>
    <w:pPr>
      <w:widowControl w:val="off"/>
    </w:pPr>
    <w:rPr>
      <w:rFonts w:ascii="Courier New" w:hAnsi="Courier New" w:cs="Courier New"/>
      <w:lang w:eastAsia="hi-IN" w:bidi="hi-IN"/>
    </w:rPr>
  </w:style>
  <w:style w:type="paragraph" w:styleId="971" w:customStyle="1">
    <w:name w:val="ConsPlusTitle"/>
    <w:next w:val="921"/>
    <w:uiPriority w:val="99"/>
    <w:pPr>
      <w:widowControl w:val="off"/>
    </w:pPr>
    <w:rPr>
      <w:rFonts w:ascii="Arial" w:hAnsi="Arial" w:cs="Arial"/>
      <w:b/>
      <w:bCs/>
      <w:lang w:eastAsia="hi-IN" w:bidi="hi-IN"/>
    </w:rPr>
  </w:style>
  <w:style w:type="paragraph" w:styleId="972" w:customStyle="1">
    <w:name w:val="Заголовок таблицы"/>
    <w:basedOn w:val="967"/>
    <w:uiPriority w:val="99"/>
    <w:pPr>
      <w:jc w:val="center"/>
    </w:pPr>
    <w:rPr>
      <w:b/>
      <w:bCs/>
    </w:rPr>
  </w:style>
  <w:style w:type="character" w:styleId="973" w:customStyle="1">
    <w:name w:val="Знак Знак2"/>
    <w:uiPriority w:val="99"/>
    <w:semiHidden/>
    <w:rPr>
      <w:rFonts w:ascii="Tahoma" w:hAnsi="Tahoma" w:cs="Mangal"/>
      <w:sz w:val="14"/>
      <w:szCs w:val="14"/>
      <w:lang w:eastAsia="hi-IN" w:bidi="hi-IN"/>
    </w:rPr>
  </w:style>
  <w:style w:type="character" w:styleId="974" w:customStyle="1">
    <w:name w:val="Знак Знак1"/>
    <w:uiPriority w:val="99"/>
    <w:rPr>
      <w:rFonts w:ascii="Arial" w:hAnsi="Arial" w:cs="Mangal"/>
      <w:sz w:val="24"/>
      <w:szCs w:val="24"/>
      <w:lang w:eastAsia="hi-IN" w:bidi="hi-IN"/>
    </w:rPr>
  </w:style>
  <w:style w:type="character" w:styleId="975" w:customStyle="1">
    <w:name w:val="Знак Знак"/>
    <w:uiPriority w:val="99"/>
    <w:rPr>
      <w:rFonts w:ascii="Arial" w:hAnsi="Arial" w:cs="Mangal"/>
      <w:sz w:val="24"/>
      <w:szCs w:val="24"/>
      <w:lang w:eastAsia="hi-IN" w:bidi="hi-IN"/>
    </w:rPr>
  </w:style>
  <w:style w:type="table" w:styleId="976">
    <w:name w:val="Table Grid"/>
    <w:basedOn w:val="926"/>
    <w:uiPriority w:val="99"/>
    <w:pPr>
      <w:widowControl w:val="off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7" w:customStyle="1">
    <w:name w:val="Body Text Indent1"/>
    <w:basedOn w:val="921"/>
    <w:uiPriority w:val="99"/>
    <w:pPr>
      <w:ind w:firstLine="709"/>
      <w:jc w:val="both"/>
    </w:pPr>
    <w:rPr>
      <w:color w:val="000000"/>
      <w:sz w:val="26"/>
      <w:szCs w:val="26"/>
    </w:rPr>
  </w:style>
  <w:style w:type="paragraph" w:styleId="978" w:customStyle="1">
    <w:name w:val="Знак1"/>
    <w:basedOn w:val="921"/>
    <w:uiPriority w:val="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79" w:customStyle="1">
    <w:name w:val="Знак2"/>
    <w:basedOn w:val="921"/>
    <w:uiPriority w:val="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80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styleId="981">
    <w:name w:val="Revision"/>
    <w:hidden/>
    <w:uiPriority w:val="99"/>
    <w:semiHidden/>
    <w:rPr>
      <w:sz w:val="24"/>
      <w:szCs w:val="24"/>
    </w:rPr>
  </w:style>
  <w:style w:type="paragraph" w:styleId="982" w:customStyle="1">
    <w:name w:val="Normal (Web)"/>
    <w:basedOn w:val="861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83" w:customStyle="1">
    <w:name w:val="Обычный (веб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Relationship Id="rId12" Type="http://schemas.openxmlformats.org/officeDocument/2006/relationships/hyperlink" Target="https://internet.garant.ru/#/document/12184522/entry/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5CE24-BBAF-4AEE-970B-F7E9E485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CAP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kadr7</dc:creator>
  <cp:revision>10</cp:revision>
  <dcterms:created xsi:type="dcterms:W3CDTF">2023-08-03T15:44:00Z</dcterms:created>
  <dcterms:modified xsi:type="dcterms:W3CDTF">2024-09-05T10:34:24Z</dcterms:modified>
</cp:coreProperties>
</file>